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Отчёт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Лабораторная работа №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5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Запоминающие узлы. Счетчики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Цель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Ознакомиться с работой запоминающих узлов и </w:t>
      </w:r>
      <w:r>
        <w:rPr>
          <w:rFonts w:cs="Times New Roman" w:ascii="Times New Roman" w:hAnsi="Times New Roman"/>
          <w:sz w:val="28"/>
          <w:szCs w:val="28"/>
          <w:lang w:val="ru-RU"/>
        </w:rPr>
        <w:t>счетчиков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разных типов. Собрать схемы</w:t>
      </w:r>
      <w:r>
        <w:rPr>
          <w:rStyle w:val="Strong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для</w:t>
      </w:r>
      <w:r>
        <w:rPr>
          <w:rStyle w:val="Strong"/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Style w:val="Strong"/>
          <w:rFonts w:cs="Times New Roman" w:ascii="Times New Roman" w:hAnsi="Times New Roman"/>
          <w:b w:val="false"/>
          <w:sz w:val="28"/>
          <w:szCs w:val="28"/>
          <w:lang w:val="ru-RU"/>
        </w:rPr>
        <w:t xml:space="preserve">испытания </w:t>
      </w:r>
      <w:r>
        <w:rPr>
          <w:rStyle w:val="Strong"/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синхронного двоичного счетчика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trong"/>
          <w:rFonts w:cs="Times New Roman" w:ascii="Times New Roman" w:hAnsi="Times New Roman"/>
          <w:b w:val="false"/>
          <w:i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ru-RU"/>
        </w:rPr>
        <w:t xml:space="preserve">реверсивного двоичного счетчика, десятичного счетчика. 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Ход работы</w:t>
      </w:r>
      <w:r>
        <w:rPr>
          <w:rFonts w:cs="Times New Roman" w:ascii="Times New Roman" w:hAnsi="Times New Roman"/>
          <w:sz w:val="28"/>
          <w:szCs w:val="28"/>
          <w:lang w:val="ru-RU"/>
        </w:rPr>
        <w:t>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1)  </w:t>
      </w:r>
      <w:r>
        <w:rPr>
          <w:rFonts w:cs="Times New Roman" w:ascii="Times New Roman" w:hAnsi="Times New Roman"/>
          <w:i w:val="false"/>
          <w:iCs w:val="false"/>
          <w:sz w:val="28"/>
          <w:szCs w:val="28"/>
          <w:lang w:val="ru-RU"/>
        </w:rPr>
        <w:t>Синхронный двоичный счетчик</w:t>
      </w:r>
    </w:p>
    <w:p>
      <w:pPr>
        <w:pStyle w:val="Normal"/>
        <w:widowControl/>
        <w:bidi w:val="0"/>
        <w:spacing w:lineRule="auto" w:line="276" w:before="0" w:after="160"/>
        <w:ind w:left="0" w:right="0" w:firstLine="54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схему  включен синхронный двоичный 4-разрядный счетчик 74НС161, к входу  которого подключен источник тактовых импульсов Е1, а к выходам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QA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QB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QC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QD-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шестнадцатеричный 7-сегментный индикатор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DCD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_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HEX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и дешифратор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DC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4×10. Выход дешифратора соединен с входами логического анализатора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/>
        </w:rPr>
        <w:t>XLA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1.</w:t>
      </w:r>
    </w:p>
    <w:p>
      <w:pPr>
        <w:pStyle w:val="Normal"/>
        <w:widowControl/>
        <w:bidi w:val="0"/>
        <w:spacing w:lineRule="auto" w:line="276" w:before="0" w:after="160"/>
        <w:ind w:left="0" w:right="0" w:firstLine="54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drawing>
          <wp:inline distT="0" distB="0" distL="0" distR="0">
            <wp:extent cx="4915535" cy="2911475"/>
            <wp:effectExtent l="0" t="0" r="0" b="0"/>
            <wp:docPr id="1" name="Рисунок 67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7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bidi w:val="0"/>
        <w:spacing w:lineRule="auto" w:line="276" w:before="0" w:after="160"/>
        <w:ind w:left="0" w:right="0" w:firstLine="54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Рис.1</w:t>
      </w:r>
    </w:p>
    <w:p>
      <w:pPr>
        <w:pStyle w:val="Normal"/>
        <w:widowControl/>
        <w:bidi w:val="0"/>
        <w:spacing w:lineRule="auto" w:line="276" w:before="0" w:after="160"/>
        <w:ind w:left="0" w:right="0" w:firstLine="540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 xml:space="preserve">При замкнутом ключе Space число поданных от генератора Е1 на вход счетчика импульсов высвечивается на индикаторе DCD_HEX в десятичном коде, 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spacing w:val="-2"/>
          <w:kern w:val="0"/>
          <w:sz w:val="28"/>
          <w:szCs w:val="28"/>
          <w:lang w:val="ru-RU" w:eastAsia="en-US" w:bidi="ar-SA"/>
        </w:rPr>
        <w:t>от 0 до 15, после чего счетчик обнуляется и вновь начинается счет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. При этом на одном из выходов дешифратора DC формируется сигнал низкого уровня (логический 0), номер которого соответствует коду входного числа: от 0000 до 1001 (9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vertAlign w:val="subscript"/>
          <w:lang w:val="ru-RU" w:eastAsia="en-US" w:bidi="ar-SA"/>
        </w:rPr>
        <w:t>10</w:t>
      </w: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).</w:t>
      </w:r>
    </w:p>
    <w:p>
      <w:pPr>
        <w:pStyle w:val="Normal"/>
        <w:widowControl/>
        <w:bidi w:val="0"/>
        <w:spacing w:lineRule="auto" w:line="276" w:before="0" w:after="160"/>
        <w:ind w:left="0" w:right="0" w:firstLine="540"/>
        <w:jc w:val="both"/>
        <w:rPr>
          <w:rFonts w:ascii="Times New Roman" w:hAnsi="Times New Roman" w:eastAsia="Calibri" w:cs="Times New Roman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При разомкнутом ключе Space сформированное с помощью переключателей на входе счетчика 4-разрядное двоичное число высвечивается на индикаторе в десятичном коде, а на экране анализатора на одном из выходов, соответствующем входному коду счетчика, формируется логический 0.</w:t>
      </w:r>
    </w:p>
    <w:p>
      <w:pPr>
        <w:pStyle w:val="Normal"/>
        <w:widowControl/>
        <w:bidi w:val="0"/>
        <w:spacing w:lineRule="auto" w:line="276" w:before="0" w:after="160"/>
        <w:ind w:left="0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-216535</wp:posOffset>
            </wp:positionH>
            <wp:positionV relativeFrom="paragraph">
              <wp:posOffset>-79375</wp:posOffset>
            </wp:positionV>
            <wp:extent cx="6546215" cy="368173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Рис.2</w:t>
      </w:r>
    </w:p>
    <w:p>
      <w:pPr>
        <w:pStyle w:val="Normal"/>
        <w:widowControl/>
        <w:bidi w:val="0"/>
        <w:spacing w:lineRule="auto" w:line="259" w:before="0" w:after="160"/>
        <w:ind w:left="0" w:right="0" w:firstLine="4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На рисунке 2 изображены результаты моделирования составленной схемы и временная диаграмма </w:t>
      </w:r>
      <w:r>
        <w:rPr>
          <w:rFonts w:cs="Times New Roman" w:ascii="Times New Roman" w:hAnsi="Times New Roman"/>
          <w:sz w:val="28"/>
          <w:szCs w:val="28"/>
          <w:lang w:val="ru-RU"/>
        </w:rPr>
        <w:t>при разомкнутом ключе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4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inline distT="0" distB="0" distL="0" distR="0">
            <wp:extent cx="3208020" cy="2671445"/>
            <wp:effectExtent l="0" t="0" r="0" b="0"/>
            <wp:docPr id="3" name="Рисунок 67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71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500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Рис.3</w:t>
      </w:r>
    </w:p>
    <w:p>
      <w:pPr>
        <w:pStyle w:val="Normal"/>
        <w:widowControl/>
        <w:bidi w:val="0"/>
        <w:spacing w:lineRule="auto" w:line="259" w:before="0" w:after="160"/>
        <w:ind w:left="0" w:right="0" w:firstLine="4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Временная диаграмма при замкнутом ключе.</w:t>
      </w:r>
    </w:p>
    <w:p>
      <w:pPr>
        <w:pStyle w:val="Normal"/>
        <w:widowControl/>
        <w:bidi w:val="0"/>
        <w:spacing w:lineRule="auto" w:line="259" w:before="0" w:after="160"/>
        <w:ind w:left="0" w:right="0" w:firstLine="44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6215" cy="368173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Рис.4</w:t>
      </w:r>
    </w:p>
    <w:p>
      <w:pPr>
        <w:pStyle w:val="Normal"/>
        <w:widowControl/>
        <w:bidi w:val="0"/>
        <w:spacing w:lineRule="auto" w:line="259" w:before="0" w:after="160"/>
        <w:ind w:left="0" w:right="0" w:firstLine="44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Схема и диаграмма при замкнутом ключе. Числа на табло меняются.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2)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Реверсивный двоичный счетчик</w:t>
      </w:r>
    </w:p>
    <w:p>
      <w:pPr>
        <w:pStyle w:val="Normal"/>
        <w:widowControl/>
        <w:bidi w:val="0"/>
        <w:spacing w:lineRule="auto" w:line="259" w:before="0" w:after="160"/>
        <w:ind w:left="0" w:right="0" w:firstLine="62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В схеме реверсивного двоичного счетчика (рис. 7.40) с помощью групп ключей 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и 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осуществляется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замыкание или размыкание выходов высокого или низкого уровня предыдущего триггера с входами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  <m:oMath xmlns:m="http://schemas.openxmlformats.org/officeDocument/2006/math">
        <m:bar>
          <m:barPr>
            <m:pos m:val="top"/>
          </m:bar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1PR</m:t>
            </m:r>
          </m:e>
        </m:bar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или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</w:r>
      <m:oMath xmlns:m="http://schemas.openxmlformats.org/officeDocument/2006/math">
        <m:bar>
          <m:barPr>
            <m:pos m:val="top"/>
          </m:bar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1CLR</m:t>
            </m:r>
          </m:e>
        </m:bar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триггера следующего разряда, причем при замкнутых ключах 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ru-RU"/>
        </w:rPr>
        <w:t xml:space="preserve">А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и разомкнутых 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(режим суммирования) с каждым тактовым импульсом увеличивается результат счета, а при замкнутых ключах 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ru-RU"/>
        </w:rPr>
        <w:t>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и разомкнутых 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ru-RU"/>
        </w:rPr>
        <w:t>А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(режим вычитания) </w:t>
      </w:r>
      <w:r>
        <w:rPr>
          <w:rFonts w:eastAsia="Symbol" w:cs="Symbol" w:ascii="Symbol" w:hAnsi="Symbol"/>
          <w:b w:val="false"/>
          <w:bCs w:val="false"/>
          <w:sz w:val="28"/>
          <w:szCs w:val="28"/>
          <w:lang w:val="ru-RU"/>
        </w:rPr>
        <w:t>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результат счета уменьшается.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5171440" cy="2339975"/>
            <wp:effectExtent l="0" t="0" r="0" b="0"/>
            <wp:docPr id="5" name="Рисунок 67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7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Рис. 5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5400040" cy="730250"/>
            <wp:effectExtent l="0" t="0" r="0" b="0"/>
            <wp:docPr id="6" name="Рисунок 67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72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drawing>
          <wp:inline distT="0" distB="0" distL="0" distR="0">
            <wp:extent cx="5400040" cy="714375"/>
            <wp:effectExtent l="0" t="0" r="0" b="0"/>
            <wp:docPr id="7" name="Рисунок 67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71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1315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ис.6</w:t>
      </w:r>
    </w:p>
    <w:p>
      <w:pPr>
        <w:pStyle w:val="Style21"/>
        <w:widowControl/>
        <w:tabs>
          <w:tab w:val="clear" w:pos="720"/>
          <w:tab w:val="left" w:pos="6237" w:leader="none"/>
        </w:tabs>
        <w:bidi w:val="0"/>
        <w:spacing w:lineRule="auto" w:line="259" w:before="0" w:after="280"/>
        <w:ind w:left="0" w:right="0" w:firstLine="54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Результаты моделирования реверсивного двоичного счетчика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6215" cy="3681730"/>
            <wp:effectExtent l="0" t="0" r="0" b="0"/>
            <wp:wrapTopAndBottom/>
            <wp:docPr id="8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Рис.7</w:t>
      </w:r>
    </w:p>
    <w:p>
      <w:pPr>
        <w:pStyle w:val="Normal"/>
        <w:widowControl/>
        <w:bidi w:val="0"/>
        <w:spacing w:lineRule="auto" w:line="259" w:before="0" w:after="160"/>
        <w:ind w:left="0" w:right="0" w:firstLine="449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Полученная схема и временная диаграмма с замкнутыми ключами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. Числа на табло убывают 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6215" cy="3681730"/>
            <wp:effectExtent l="0" t="0" r="0" b="0"/>
            <wp:wrapTopAndBottom/>
            <wp:docPr id="9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Рис. 8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Полученная схема и временная диаграмма с замкнутыми ключами В. Числа возрастают.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left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3) Десятичный счетчик</w:t>
      </w:r>
    </w:p>
    <w:p>
      <w:pPr>
        <w:pStyle w:val="Normal"/>
        <w:widowControl/>
        <w:bidi w:val="0"/>
        <w:spacing w:lineRule="auto" w:line="259" w:before="0" w:after="160"/>
        <w:ind w:left="0" w:right="0" w:firstLine="449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Результаты моделирования 4-разрядного двоичного счетчика (рис. 9) показали, что с его помощью можно сосчитать до 15.</w:t>
      </w:r>
    </w:p>
    <w:p>
      <w:pPr>
        <w:pStyle w:val="Normal"/>
        <w:jc w:val="center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3260" cy="3032760"/>
            <wp:effectExtent l="0" t="0" r="0" b="0"/>
            <wp:wrapTopAndBottom/>
            <wp:docPr id="10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Рис.9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left"/>
        <w:rPr>
          <w:rFonts w:ascii="Times New Roman" w:hAnsi="Times New Roman"/>
          <w:sz w:val="28"/>
          <w:szCs w:val="28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В функциональной схеме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десятичного счетчика (рис. 9), собранной на триггерах </w:t>
      </w:r>
      <w:r>
        <w:rPr>
          <w:rFonts w:cs="Times New Roman" w:ascii="Times New Roman" w:hAnsi="Times New Roman"/>
          <w:b w:val="false"/>
          <w:bCs w:val="false"/>
          <w:i/>
          <w:sz w:val="28"/>
          <w:szCs w:val="28"/>
          <w:lang w:val="en-US"/>
        </w:rPr>
        <w:t>JK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-типа, на каждый одиннадцатый тактовый импульс результат счета сбрасывается в нуль и далее результат счета увеличивается. Возврат счетчика при поступлении одиннадцатого тактового импульса в начальное состояние обеспечивается дополнительной комбинационной схемой с встроенными логическими элементами И (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AND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), ИЛИ (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OR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) и НЕ (</w:t>
      </w:r>
      <w:r>
        <w:rPr>
          <w:rFonts w:cs="Times New Roman" w:ascii="Times New Roman" w:hAnsi="Times New Roman"/>
          <w:b/>
          <w:bCs w:val="false"/>
          <w:sz w:val="28"/>
          <w:szCs w:val="28"/>
          <w:lang w:val="en-US"/>
        </w:rPr>
        <w:t>NOT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).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center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46215" cy="3681730"/>
            <wp:effectExtent l="0" t="0" r="0" b="0"/>
            <wp:wrapTopAndBottom/>
            <wp:docPr id="11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21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Рис.10</w:t>
      </w:r>
    </w:p>
    <w:p>
      <w:pPr>
        <w:pStyle w:val="Normal"/>
        <w:widowControl/>
        <w:bidi w:val="0"/>
        <w:spacing w:lineRule="auto" w:line="259" w:before="0" w:after="160"/>
        <w:ind w:left="0" w:right="0" w:firstLine="540"/>
        <w:jc w:val="left"/>
        <w:rPr>
          <w:rFonts w:ascii="Times New Roman" w:hAnsi="Times New Roman" w:eastAsia="Calibri" w:cs="Times New Roman"/>
          <w:b w:val="false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Счетчик работает так же, как синхронный двоичный счетчик до поступления седьмого импульса, а далее, благодаря обратной связи, нарушается изменение естественной последовательности двоичных чисел на входах и выходах триггеров при подсчете тактовых импульсов. </w:t>
      </w:r>
    </w:p>
    <w:p>
      <w:pPr>
        <w:pStyle w:val="Normal"/>
        <w:jc w:val="both"/>
        <w:rPr/>
      </w:pPr>
      <w:r>
        <w:rPr>
          <w:rStyle w:val="Style13"/>
          <w:rFonts w:cs="Times New Roman" w:ascii="Times New Roman" w:hAnsi="Times New Roman"/>
          <w:b/>
          <w:bCs/>
          <w:sz w:val="28"/>
          <w:szCs w:val="28"/>
          <w:highlight w:val="white"/>
        </w:rPr>
        <w:t>Выводы</w:t>
      </w:r>
      <w:r>
        <w:rPr>
          <w:rStyle w:val="Style13"/>
          <w:rFonts w:cs="Times New Roman" w:ascii="Times New Roman" w:hAnsi="Times New Roman"/>
          <w:sz w:val="28"/>
          <w:szCs w:val="28"/>
          <w:highlight w:val="white"/>
        </w:rPr>
        <w:t xml:space="preserve">: 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/>
      </w:pP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В ходе лабораторной работы мы ознакомились с</w:t>
      </w: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о</w:t>
      </w: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 </w:t>
      </w: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счетчиками</w:t>
      </w: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 xml:space="preserve">. </w:t>
      </w:r>
      <w:r>
        <w:rPr>
          <w:rStyle w:val="Style13"/>
          <w:rFonts w:cs="Times New Roman" w:ascii="Times New Roman" w:hAnsi="Times New Roman"/>
          <w:i/>
          <w:iCs w:val="false"/>
          <w:sz w:val="28"/>
          <w:szCs w:val="28"/>
          <w:highlight w:val="white"/>
          <w:lang w:val="ru-RU"/>
        </w:rPr>
        <w:t>С</w:t>
      </w:r>
      <w:r>
        <w:rPr>
          <w:rStyle w:val="Style13"/>
          <w:rFonts w:cs="Times New Roman" w:ascii="Times New Roman" w:hAnsi="Times New Roman"/>
          <w:i w:val="false"/>
          <w:iCs w:val="false"/>
          <w:sz w:val="28"/>
          <w:szCs w:val="28"/>
          <w:highlight w:val="white"/>
          <w:lang w:val="ru-RU"/>
        </w:rPr>
        <w:t>ч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 xml:space="preserve">ётчик-устройство, предназначенное для счёта поступающих на его вход импульсов. Если с каждым входным импульсом 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>записанное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 xml:space="preserve"> в счётчик число увеличивается, то 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 xml:space="preserve">счетчик- 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 xml:space="preserve"> </w:t>
      </w:r>
      <w:r>
        <w:rPr>
          <w:rStyle w:val="Style13"/>
          <w:rFonts w:eastAsia="Calibri" w:cs="Times New Roman" w:ascii="Times New Roman" w:hAnsi="Times New Roman"/>
          <w:i/>
          <w:iCs w:val="false"/>
          <w:color w:val="auto"/>
          <w:kern w:val="0"/>
          <w:szCs w:val="28"/>
          <w:highlight w:val="white"/>
          <w:lang w:eastAsia="en-US" w:bidi="ar-SA"/>
        </w:rPr>
        <w:t>суммирующи</w:t>
      </w:r>
      <w:r>
        <w:rPr>
          <w:rStyle w:val="Style13"/>
          <w:rFonts w:eastAsia="Calibri" w:cs="Times New Roman" w:ascii="Times New Roman" w:hAnsi="Times New Roman"/>
          <w:i/>
          <w:iCs w:val="false"/>
          <w:color w:val="auto"/>
          <w:kern w:val="0"/>
          <w:szCs w:val="28"/>
          <w:highlight w:val="white"/>
          <w:lang w:eastAsia="en-US" w:bidi="ar-SA"/>
        </w:rPr>
        <w:t>й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 xml:space="preserve">, если оно уменьшается </w:t>
      </w:r>
      <w:r>
        <w:rPr>
          <w:rStyle w:val="Style13"/>
          <w:rFonts w:eastAsia="Symbol" w:cs="Symbol" w:ascii="Symbol" w:hAnsi="Symbol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>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 xml:space="preserve"> </w:t>
      </w:r>
      <w:r>
        <w:rPr>
          <w:rStyle w:val="Style13"/>
          <w:rFonts w:eastAsia="Calibri" w:cs="Times New Roman" w:ascii="Times New Roman" w:hAnsi="Times New Roman"/>
          <w:i/>
          <w:iCs w:val="false"/>
          <w:color w:val="auto"/>
          <w:kern w:val="0"/>
          <w:szCs w:val="28"/>
          <w:highlight w:val="white"/>
          <w:lang w:eastAsia="en-US" w:bidi="ar-SA"/>
        </w:rPr>
        <w:t>вычитающи</w:t>
      </w:r>
      <w:r>
        <w:rPr>
          <w:rStyle w:val="Style13"/>
          <w:rFonts w:eastAsia="Calibri" w:cs="Times New Roman" w:ascii="Times New Roman" w:hAnsi="Times New Roman"/>
          <w:i/>
          <w:iCs w:val="false"/>
          <w:color w:val="auto"/>
          <w:kern w:val="0"/>
          <w:szCs w:val="28"/>
          <w:highlight w:val="white"/>
          <w:lang w:eastAsia="en-US" w:bidi="ar-SA"/>
        </w:rPr>
        <w:t>й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 xml:space="preserve">. 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>Р</w:t>
      </w:r>
      <w:r>
        <w:rPr>
          <w:rStyle w:val="Style13"/>
          <w:rFonts w:eastAsia="Calibri" w:cs="Times New Roman" w:ascii="Times New Roman" w:hAnsi="Times New Roman"/>
          <w:i/>
          <w:iCs w:val="false"/>
          <w:color w:val="auto"/>
          <w:kern w:val="0"/>
          <w:szCs w:val="28"/>
          <w:highlight w:val="white"/>
          <w:lang w:eastAsia="en-US" w:bidi="ar-SA"/>
        </w:rPr>
        <w:t>еверсивны</w:t>
      </w:r>
      <w:r>
        <w:rPr>
          <w:rStyle w:val="Style13"/>
          <w:rFonts w:eastAsia="Calibri" w:cs="Times New Roman" w:ascii="Times New Roman" w:hAnsi="Times New Roman"/>
          <w:i/>
          <w:iCs w:val="false"/>
          <w:color w:val="auto"/>
          <w:kern w:val="0"/>
          <w:szCs w:val="28"/>
          <w:highlight w:val="white"/>
          <w:lang w:eastAsia="en-US" w:bidi="ar-SA"/>
        </w:rPr>
        <w:t xml:space="preserve">й 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>счетчик работает и на сложение и на вычитание</w:t>
      </w:r>
      <w:r>
        <w:rPr>
          <w:rStyle w:val="Style13"/>
          <w:rFonts w:eastAsia="Calibri" w:cs="Times New Roman" w:ascii="Times New Roman" w:hAnsi="Times New Roman"/>
          <w:i w:val="false"/>
          <w:iCs w:val="false"/>
          <w:color w:val="auto"/>
          <w:kern w:val="0"/>
          <w:szCs w:val="28"/>
          <w:highlight w:val="white"/>
          <w:lang w:eastAsia="en-US" w:bidi="ar-SA"/>
        </w:rPr>
        <w:t xml:space="preserve">. 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highlight w:val="white"/>
          <w:lang w:val="ru-RU"/>
        </w:rPr>
        <w:t>В ходе работы мы п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highlight w:val="white"/>
          <w:lang w:val="ru-RU"/>
        </w:rPr>
        <w:t>остроили соответствующие схемы и получили временные диаграммы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highlight w:val="white"/>
          <w:lang w:val="en-US"/>
        </w:rPr>
        <w:t xml:space="preserve">, 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highlight w:val="white"/>
          <w:lang w:val="ru-RU"/>
        </w:rPr>
        <w:t>наглядно показывающие как работа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highlight w:val="white"/>
          <w:lang w:val="ru-RU"/>
        </w:rPr>
        <w:t>ют счетчики</w:t>
      </w:r>
      <w:r>
        <w:rPr>
          <w:rStyle w:val="Style13"/>
          <w:rFonts w:cs="Times New Roman" w:ascii="Times New Roman" w:hAnsi="Times New Roman"/>
          <w:i w:val="false"/>
          <w:iCs w:val="false"/>
          <w:spacing w:val="-4"/>
          <w:sz w:val="28"/>
          <w:szCs w:val="28"/>
          <w:highlight w:val="white"/>
          <w:lang w:val="ru-RU"/>
        </w:rPr>
        <w:t>.</w:t>
      </w:r>
    </w:p>
    <w:p>
      <w:pPr>
        <w:pStyle w:val="Normal"/>
        <w:widowControl/>
        <w:bidi w:val="0"/>
        <w:spacing w:lineRule="auto" w:line="259" w:before="0" w:after="160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2240" w:h="15840"/>
      <w:pgMar w:left="1077" w:right="85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1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qFormat/>
    <w:pPr>
      <w:keepNext w:val="true"/>
      <w:keepLines/>
      <w:numPr>
        <w:ilvl w:val="0"/>
        <w:numId w:val="0"/>
      </w:numPr>
      <w:spacing w:lineRule="auto" w:line="240" w:before="0" w:after="0"/>
      <w:jc w:val="center"/>
      <w:outlineLvl w:val="0"/>
    </w:pPr>
    <w:rPr>
      <w:rFonts w:ascii="Times New Roman" w:hAnsi="Times New Roman" w:eastAsia="Calibri" w:cs="Tahoma"/>
      <w:b/>
      <w:color w:val="000000"/>
      <w:sz w:val="28"/>
      <w:szCs w:val="32"/>
      <w:lang w:val="ru-RU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color w:val="000000"/>
      <w:sz w:val="28"/>
      <w:szCs w:val="32"/>
      <w:lang w:val="ru-RU"/>
    </w:rPr>
  </w:style>
  <w:style w:type="character" w:styleId="Strong">
    <w:name w:val="Strong"/>
    <w:basedOn w:val="DefaultParagraphFont"/>
    <w:qFormat/>
    <w:rPr>
      <w:b/>
      <w:bCs/>
    </w:rPr>
  </w:style>
  <w:style w:type="character" w:styleId="Style13">
    <w:name w:val="Верхний колонтитул Знак"/>
    <w:basedOn w:val="DefaultParagraphFont"/>
    <w:qFormat/>
    <w:rPr>
      <w:rFonts w:ascii="Times New Roman" w:hAnsi="Times New Roman"/>
      <w:sz w:val="28"/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firstLine="510"/>
      <w:jc w:val="both"/>
    </w:pPr>
    <w:rPr>
      <w:rFonts w:ascii="Times New Roman" w:hAnsi="Times New Roman"/>
      <w:sz w:val="28"/>
      <w:lang w:val="ru-RU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Подпись русунка"/>
    <w:basedOn w:val="Normal"/>
    <w:qFormat/>
    <w:pPr>
      <w:ind w:hanging="0"/>
      <w:jc w:val="center"/>
    </w:pPr>
    <w:rPr>
      <w:rFonts w:eastAsia="Times New Roman" w:cs="Times New Roman"/>
      <w:b/>
      <w:szCs w:val="28"/>
      <w:lang w:eastAsia="ru-RU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Application>Trio_Office/6.2.8.2$Windows_x86 LibreOffice_project/</Application>
  <Pages>7</Pages>
  <Words>466</Words>
  <Characters>3003</Characters>
  <CharactersWithSpaces>3447</CharactersWithSpaces>
  <Paragraphs>37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2020-04-24T08:04:00Z</dcterms:created>
  <dc:creator>Drugov Anton</dc:creator>
  <dc:description/>
  <dc:language>en-US</dc:language>
  <cp:lastModifiedBy/>
  <dcterms:modified xsi:type="dcterms:W3CDTF">2020-05-22T15:12:03Z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