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BANK TRANSACTION FRAUD DETECTION</w:t>
      </w:r>
    </w:p>
    <w:p>
      <w:pPr>
        <w:spacing w:after="60"/>
        <w:jc w:val="center"/>
      </w:pPr>
      <w:r>
        <w:rPr>
          <w:rFonts w:ascii="Arial" w:cs="Arial" w:eastAsia="Arial" w:hAnsi="Arial"/>
          <w:b w:val="false"/>
          <w:bCs w:val="false"/>
          <w:color w:val="2E74B5"/>
          <w:sz w:val="28"/>
          <w:szCs w:val="28"/>
        </w:rPr>
        <w:t xml:space="preserve">Dataset Overview Report</w:t>
      </w:r>
    </w:p>
    <w:p>
      <w:pPr>
        <w:spacing w:after="60"/>
        <w:jc w:val="center"/>
      </w:pPr>
      <w:r>
        <w:rPr>
          <w:rFonts w:ascii="Arial" w:cs="Arial" w:eastAsia="Arial" w:hAnsi="Arial"/>
          <w:color w:val="444444"/>
          <w:sz w:val="22"/>
          <w:szCs w:val="22"/>
        </w:rPr>
        <w:t xml:space="preserve">Group A – Member 1: Data Collection &amp; Understanding</w:t>
      </w:r>
    </w:p>
    <w:p>
      <w:pPr>
        <w:spacing w:after="60"/>
        <w:jc w:val="center"/>
      </w:pPr>
      <w:r>
        <w:rPr>
          <w:rFonts w:ascii="Arial" w:cs="Arial" w:eastAsia="Arial" w:hAnsi="Arial"/>
          <w:color w:val="666666"/>
          <w:sz w:val="20"/>
          <w:szCs w:val="20"/>
        </w:rPr>
        <w:t xml:space="preserve">CRISP-DM Phase 1 | Project: Digital Banking Fraud Detection</w:t>
      </w:r>
    </w:p>
    <w:p>
      <w:pPr>
        <w:spacing w:after="300"/>
        <w:jc w:val="center"/>
      </w:pPr>
      <w:r>
        <w:rPr>
          <w:rFonts w:ascii="Arial" w:cs="Arial" w:eastAsia="Arial" w:hAnsi="Arial"/>
          <w:color w:val="666666"/>
          <w:sz w:val="20"/>
          <w:szCs w:val="20"/>
        </w:rPr>
        <w:t xml:space="preserve">Date: June 2026</w:t>
      </w:r>
    </w:p>
    <w:p>
      <w:pPr>
        <w:pBdr>
          <w:bottom w:val="single" w:color="1F4E79" w:sz="6" w:space="1"/>
        </w:pBdr>
        <w:spacing w:after="200"/>
      </w:pPr>
      <w:r>
        <w:t xml:space="preserve"/>
      </w:r>
    </w:p>
    <w:p>
      <w:pPr>
        <w:pStyle w:val="Heading1"/>
        <w:spacing w:after="120" w:before="300"/>
      </w:pPr>
      <w:r>
        <w:rPr>
          <w:rFonts w:ascii="Arial" w:cs="Arial" w:eastAsia="Arial" w:hAnsi="Arial"/>
          <w:b/>
          <w:bCs/>
          <w:color w:val="1F4E79"/>
          <w:sz w:val="28"/>
          <w:szCs w:val="28"/>
        </w:rPr>
        <w:t xml:space="preserve">1. Dataset At a Glance</w:t>
      </w:r>
    </w:p>
    <w:p>
      <w:pPr>
        <w:spacing w:after="100"/>
      </w:pPr>
      <w:r>
        <w:rPr>
          <w:rFonts w:ascii="Arial" w:cs="Arial" w:eastAsia="Arial" w:hAnsi="Arial"/>
          <w:sz w:val="20"/>
          <w:szCs w:val="20"/>
        </w:rPr>
        <w:t xml:space="preserve">The table below summarises the key attributes of the dataset used in this project.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Dataset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Transaction Fraud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 marusagar (February 2025)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Dataset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 Simulated Tabular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 (.csv)</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 rows (simulated bank transaction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Features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columns (17 features + 1 target variable)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IsFraud (Binary: 0 = Legitimate, 1 = Fraudulent)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Imbalance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Imbalanced – Fraud cases are a minority class (~5–10%)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Banking / Financial Services / FinTech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Classification (Supervised Learning)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Benchmark Accuracy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(reported by dataset author – marusagar)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Dataset License (for educational/research use)</w:t>
            </w:r>
          </w:p>
        </w:tc>
      </w:tr>
    </w:tbl>
    <w:p>
      <w:pPr>
        <w:spacing w:after="240"/>
      </w:pPr>
      <w:r>
        <w:t xml:space="preserve"/>
      </w:r>
    </w:p>
    <w:p>
      <w:pPr>
        <w:pBdr>
          <w:bottom w:val="single" w:color="1F4E79" w:sz="6" w:space="1"/>
        </w:pBdr>
        <w:spacing w:after="200"/>
      </w:pPr>
      <w:r>
        <w:t xml:space="preserve"/>
      </w:r>
    </w:p>
    <w:p>
      <w:pPr>
        <w:pStyle w:val="Heading1"/>
        <w:spacing w:after="120" w:before="300"/>
      </w:pPr>
      <w:r>
        <w:rPr>
          <w:rFonts w:ascii="Arial" w:cs="Arial" w:eastAsia="Arial" w:hAnsi="Arial"/>
          <w:b/>
          <w:bCs/>
          <w:color w:val="1F4E79"/>
          <w:sz w:val="28"/>
          <w:szCs w:val="28"/>
        </w:rPr>
        <w:t xml:space="preserve">2. Dataset Description</w:t>
      </w:r>
    </w:p>
    <w:p>
      <w:pPr>
        <w:spacing w:after="100"/>
      </w:pPr>
      <w:r>
        <w:rPr>
          <w:rFonts w:ascii="Arial" w:cs="Arial" w:eastAsia="Arial" w:hAnsi="Arial"/>
          <w:sz w:val="20"/>
          <w:szCs w:val="20"/>
        </w:rPr>
        <w:t xml:space="preserve">The Bank Transaction Fraud Detection dataset is a synthetic, simulated dataset published on Kaggle by the author marusagar in February 2025. It was specifically designed to support machine learning projects focused on identifying fraudulent activity within digital banking transactions. The data simulates realistic banking behaviour across a diverse set of customers, merchants, devices, and transaction types.</w:t>
      </w:r>
    </w:p>
    <w:p>
      <w:pPr>
        <w:spacing w:after="100"/>
      </w:pPr>
      <w:r>
        <w:t xml:space="preserve"/>
      </w:r>
    </w:p>
    <w:p>
      <w:pPr>
        <w:spacing w:after="100"/>
      </w:pPr>
      <w:r>
        <w:rPr>
          <w:rFonts w:ascii="Arial" w:cs="Arial" w:eastAsia="Arial" w:hAnsi="Arial"/>
          <w:sz w:val="20"/>
          <w:szCs w:val="20"/>
        </w:rPr>
        <w:t xml:space="preserve">Each record in the dataset represents a single bank transaction, annotated with a binary fraud label (IsFraud). The dataset is intentionally class-imbalanced, mirroring real-world fraud scenarios where legitimate transactions vastly outnumber fraudulent ones. This makes it ideal for practising techniques such as oversampling, undersampling, threshold tuning, and evaluation with precision-recall metrics.</w:t>
      </w:r>
    </w:p>
    <w:p>
      <w:pPr>
        <w:spacing w:after="100"/>
      </w:pPr>
      <w:r>
        <w:t xml:space="preserve"/>
      </w:r>
    </w:p>
    <w:p>
      <w:pPr>
        <w:spacing w:after="100"/>
      </w:pPr>
      <w:r>
        <w:rPr>
          <w:rFonts w:ascii="Arial" w:cs="Arial" w:eastAsia="Arial" w:hAnsi="Arial"/>
          <w:sz w:val="20"/>
          <w:szCs w:val="20"/>
        </w:rPr>
        <w:t xml:space="preserve">The dataset covers a comprehensive range of features spanning transaction specifics, customer demographics, digital access metadata, geographic location, and account financial state — making it suitable for rich feature engineering and multivariate modelling.</w:t>
      </w:r>
    </w:p>
    <w:p>
      <w:pPr>
        <w:spacing w:after="100"/>
      </w:pPr>
      <w:r>
        <w:t xml:space="preserve"/>
      </w:r>
    </w:p>
    <w:p>
      <w:pPr>
        <w:pBdr>
          <w:bottom w:val="single" w:color="1F4E79" w:sz="6" w:space="1"/>
        </w:pBdr>
        <w:spacing w:after="200"/>
      </w:pPr>
      <w:r>
        <w:t xml:space="preserve"/>
      </w:r>
    </w:p>
    <w:p>
      <w:pPr>
        <w:pStyle w:val="Heading1"/>
        <w:spacing w:after="120" w:before="300"/>
      </w:pPr>
      <w:r>
        <w:rPr>
          <w:rFonts w:ascii="Arial" w:cs="Arial" w:eastAsia="Arial" w:hAnsi="Arial"/>
          <w:b/>
          <w:bCs/>
          <w:color w:val="1F4E79"/>
          <w:sz w:val="28"/>
          <w:szCs w:val="28"/>
        </w:rPr>
        <w:t xml:space="preserve">3. Feature Group Summary</w:t>
      </w:r>
    </w:p>
    <w:p>
      <w:pPr>
        <w:spacing w:after="100"/>
      </w:pPr>
      <w:r>
        <w:rPr>
          <w:rFonts w:ascii="Arial" w:cs="Arial" w:eastAsia="Arial" w:hAnsi="Arial"/>
          <w:sz w:val="20"/>
          <w:szCs w:val="20"/>
        </w:rPr>
        <w:t xml:space="preserve">The 18 columns are organised into 8 functional groups as described below.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 Group</w:t>
            </w:r>
          </w:p>
        </w:tc>
        <w:tc>
          <w:tcPr>
            <w:tcW w:type="dxa" w:w="3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Columns Included</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Transaction Identifiers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TransactionID, AccountID, MerchantID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Uniquely identify transactions, accounts, merchants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Details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TransactionAmount, TransactionDate, TransactionType, TransactionDuration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Describe what, when, how much, and how long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Account &amp; Balance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AccountBalance, PreviousTransactionDate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Financial state and transaction frequency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Demographics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CustomerAge, CustomerOccupation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of account holder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Digital Footprint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DeviceID, IP_Address, Channel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and where transaction was initiated digitally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location of the transaction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Security Indicators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LoginAttempts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Number of login attempts, potential intrusion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Variable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IsFraud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label: 0 = Legitimate, 1 = Fraud</w:t>
            </w:r>
          </w:p>
        </w:tc>
      </w:tr>
    </w:tbl>
    <w:p>
      <w:pPr>
        <w:spacing w:after="240"/>
      </w:pPr>
      <w:r>
        <w:t xml:space="preserve"/>
      </w:r>
    </w:p>
    <w:p>
      <w:pPr>
        <w:pBdr>
          <w:bottom w:val="single" w:color="1F4E79" w:sz="6" w:space="1"/>
        </w:pBdr>
        <w:spacing w:after="200"/>
      </w:pPr>
      <w:r>
        <w:t xml:space="preserve"/>
      </w:r>
    </w:p>
    <w:p>
      <w:pPr>
        <w:pStyle w:val="Heading1"/>
        <w:spacing w:after="120" w:before="300"/>
      </w:pPr>
      <w:r>
        <w:rPr>
          <w:rFonts w:ascii="Arial" w:cs="Arial" w:eastAsia="Arial" w:hAnsi="Arial"/>
          <w:b/>
          <w:bCs/>
          <w:color w:val="1F4E79"/>
          <w:sz w:val="28"/>
          <w:szCs w:val="28"/>
        </w:rPr>
        <w:t xml:space="preserve">4. Key Data Characteristics</w:t>
      </w:r>
    </w:p>
    <w:p>
      <w:pPr>
        <w:pStyle w:val="Heading2"/>
        <w:spacing w:after="80" w:before="200"/>
      </w:pPr>
      <w:r>
        <w:rPr>
          <w:rFonts w:ascii="Arial" w:cs="Arial" w:eastAsia="Arial" w:hAnsi="Arial"/>
          <w:b/>
          <w:bCs/>
          <w:color w:val="2E74B5"/>
          <w:sz w:val="24"/>
          <w:szCs w:val="24"/>
        </w:rPr>
        <w:t xml:space="preserve">4.1 Class Imbalance</w:t>
      </w:r>
    </w:p>
    <w:p>
      <w:pPr>
        <w:spacing w:after="100"/>
      </w:pPr>
      <w:r>
        <w:rPr>
          <w:rFonts w:ascii="Arial" w:cs="Arial" w:eastAsia="Arial" w:hAnsi="Arial"/>
          <w:sz w:val="20"/>
          <w:szCs w:val="20"/>
        </w:rPr>
        <w:t xml:space="preserve">The target variable IsFraud is highly imbalanced. Fraudulent transactions constitute a small minority of the total records (approximately 5–10%). This is a defining characteristic of the dataset and a core challenge for the modelling phase. The team has addressed this using sklearn.utils.resample with a 5:1 oversampling ratio to augment the minority class.</w:t>
      </w:r>
    </w:p>
    <w:p>
      <w:pPr>
        <w:pStyle w:val="Heading2"/>
        <w:spacing w:after="80" w:before="200"/>
      </w:pPr>
      <w:r>
        <w:rPr>
          <w:rFonts w:ascii="Arial" w:cs="Arial" w:eastAsia="Arial" w:hAnsi="Arial"/>
          <w:b/>
          <w:bCs/>
          <w:color w:val="2E74B5"/>
          <w:sz w:val="24"/>
          <w:szCs w:val="24"/>
        </w:rPr>
        <w:t xml:space="preserve">4.2 Data Types</w:t>
      </w:r>
    </w:p>
    <w:p>
      <w:pPr>
        <w:pStyle w:val="ListParagraph"/>
        <w:numPr>
          <w:ilvl w:val="0"/>
          <w:numId w:val="2"/>
        </w:numPr>
        <w:spacing w:after="60"/>
      </w:pPr>
      <w:r>
        <w:rPr>
          <w:rFonts w:ascii="Arial" w:cs="Arial" w:eastAsia="Arial" w:hAnsi="Arial"/>
          <w:sz w:val="20"/>
          <w:szCs w:val="20"/>
        </w:rPr>
        <w:t xml:space="preserve">Numerical (Continuous): TransactionAmount, AccountBalance, TransactionDuration</w:t>
      </w:r>
    </w:p>
    <w:p>
      <w:pPr>
        <w:pStyle w:val="ListParagraph"/>
        <w:numPr>
          <w:ilvl w:val="0"/>
          <w:numId w:val="2"/>
        </w:numPr>
        <w:spacing w:after="60"/>
      </w:pPr>
      <w:r>
        <w:rPr>
          <w:rFonts w:ascii="Arial" w:cs="Arial" w:eastAsia="Arial" w:hAnsi="Arial"/>
          <w:sz w:val="20"/>
          <w:szCs w:val="20"/>
        </w:rPr>
        <w:t xml:space="preserve">Numerical (Discrete/Count): LoginAttempts, CustomerAge</w:t>
      </w:r>
    </w:p>
    <w:p>
      <w:pPr>
        <w:pStyle w:val="ListParagraph"/>
        <w:numPr>
          <w:ilvl w:val="0"/>
          <w:numId w:val="2"/>
        </w:numPr>
        <w:spacing w:after="60"/>
      </w:pPr>
      <w:r>
        <w:rPr>
          <w:rFonts w:ascii="Arial" w:cs="Arial" w:eastAsia="Arial" w:hAnsi="Arial"/>
          <w:sz w:val="20"/>
          <w:szCs w:val="20"/>
        </w:rPr>
        <w:t xml:space="preserve">Categorical (Nominal): TransactionType, CustomerOccupation, Location, Channel, DeviceID, IP_Address</w:t>
      </w:r>
    </w:p>
    <w:p>
      <w:pPr>
        <w:pStyle w:val="ListParagraph"/>
        <w:numPr>
          <w:ilvl w:val="0"/>
          <w:numId w:val="2"/>
        </w:numPr>
        <w:spacing w:after="60"/>
      </w:pPr>
      <w:r>
        <w:rPr>
          <w:rFonts w:ascii="Arial" w:cs="Arial" w:eastAsia="Arial" w:hAnsi="Arial"/>
          <w:sz w:val="20"/>
          <w:szCs w:val="20"/>
        </w:rPr>
        <w:t xml:space="preserve">Identifier Columns: TransactionID, AccountID, MerchantID</w:t>
      </w:r>
    </w:p>
    <w:p>
      <w:pPr>
        <w:pStyle w:val="ListParagraph"/>
        <w:numPr>
          <w:ilvl w:val="0"/>
          <w:numId w:val="2"/>
        </w:numPr>
        <w:spacing w:after="60"/>
      </w:pPr>
      <w:r>
        <w:rPr>
          <w:rFonts w:ascii="Arial" w:cs="Arial" w:eastAsia="Arial" w:hAnsi="Arial"/>
          <w:sz w:val="20"/>
          <w:szCs w:val="20"/>
        </w:rPr>
        <w:t xml:space="preserve">Datetime: TransactionDate, PreviousTransactionDate</w:t>
      </w:r>
    </w:p>
    <w:p>
      <w:pPr>
        <w:pStyle w:val="ListParagraph"/>
        <w:numPr>
          <w:ilvl w:val="0"/>
          <w:numId w:val="2"/>
        </w:numPr>
        <w:spacing w:after="60"/>
      </w:pPr>
      <w:r>
        <w:rPr>
          <w:rFonts w:ascii="Arial" w:cs="Arial" w:eastAsia="Arial" w:hAnsi="Arial"/>
          <w:sz w:val="20"/>
          <w:szCs w:val="20"/>
        </w:rPr>
        <w:t xml:space="preserve">Binary Target: IsFraud</w:t>
      </w:r>
    </w:p>
    <w:p>
      <w:pPr>
        <w:spacing w:after="100"/>
      </w:pPr>
      <w:r>
        <w:t xml:space="preserve"/>
      </w:r>
    </w:p>
    <w:p>
      <w:pPr>
        <w:pStyle w:val="Heading2"/>
        <w:spacing w:after="80" w:before="200"/>
      </w:pPr>
      <w:r>
        <w:rPr>
          <w:rFonts w:ascii="Arial" w:cs="Arial" w:eastAsia="Arial" w:hAnsi="Arial"/>
          <w:b/>
          <w:bCs/>
          <w:color w:val="2E74B5"/>
          <w:sz w:val="24"/>
          <w:szCs w:val="24"/>
        </w:rPr>
        <w:t xml:space="preserve">4.3 Synthetic Nature</w:t>
      </w:r>
    </w:p>
    <w:p>
      <w:pPr>
        <w:spacing w:after="100"/>
      </w:pPr>
      <w:r>
        <w:rPr>
          <w:rFonts w:ascii="Arial" w:cs="Arial" w:eastAsia="Arial" w:hAnsi="Arial"/>
          <w:sz w:val="20"/>
          <w:szCs w:val="20"/>
        </w:rPr>
        <w:t xml:space="preserve">The dataset is synthetically generated to simulate a wide variety of banking scenarios. It is not derived from real customer data, which makes it free from privacy and confidentiality constraints. However, it closely mirrors real-world distributional patterns and fraud indicators, making it appropriate for machine learning experimentation and model benchmarking.</w:t>
      </w:r>
    </w:p>
    <w:p>
      <w:pPr>
        <w:pStyle w:val="Heading2"/>
        <w:spacing w:after="80" w:before="200"/>
      </w:pPr>
      <w:r>
        <w:rPr>
          <w:rFonts w:ascii="Arial" w:cs="Arial" w:eastAsia="Arial" w:hAnsi="Arial"/>
          <w:b/>
          <w:bCs/>
          <w:color w:val="2E74B5"/>
          <w:sz w:val="24"/>
          <w:szCs w:val="24"/>
        </w:rPr>
        <w:t xml:space="preserve">4.4 Benchmark Performance</w:t>
      </w:r>
    </w:p>
    <w:p>
      <w:pPr>
        <w:spacing w:after="100"/>
      </w:pPr>
      <w:r>
        <w:rPr>
          <w:rFonts w:ascii="Arial" w:cs="Arial" w:eastAsia="Arial" w:hAnsi="Arial"/>
          <w:sz w:val="20"/>
          <w:szCs w:val="20"/>
        </w:rPr>
        <w:t xml:space="preserve">The dataset author reports a benchmark classification accuracy of 95% achievable with appropriate modelling techniques. Our team targets this benchmark using a combination of Logistic Regression, Decision Tree, Random Forest, and Gradient Boosting Classifier, with F1-score maximisation via threshold tuning as the primary performance optimisation strategy.</w:t>
      </w:r>
    </w:p>
    <w:p>
      <w:pPr>
        <w:spacing w:after="100"/>
      </w:pPr>
      <w:r>
        <w:t xml:space="preserve"/>
      </w:r>
    </w:p>
    <w:p>
      <w:pPr>
        <w:pBdr>
          <w:bottom w:val="single" w:color="1F4E79" w:sz="6" w:space="1"/>
        </w:pBdr>
        <w:spacing w:after="200"/>
      </w:pPr>
      <w:r>
        <w:t xml:space="preserve"/>
      </w:r>
    </w:p>
    <w:p>
      <w:pPr>
        <w:pStyle w:val="Heading1"/>
        <w:spacing w:after="120" w:before="300"/>
      </w:pPr>
      <w:r>
        <w:rPr>
          <w:rFonts w:ascii="Arial" w:cs="Arial" w:eastAsia="Arial" w:hAnsi="Arial"/>
          <w:b/>
          <w:bCs/>
          <w:color w:val="1F4E79"/>
          <w:sz w:val="28"/>
          <w:szCs w:val="28"/>
        </w:rPr>
        <w:t xml:space="preserve">5. Intended Use Cases</w:t>
      </w:r>
    </w:p>
    <w:p>
      <w:pPr>
        <w:pStyle w:val="ListParagraph"/>
        <w:numPr>
          <w:ilvl w:val="0"/>
          <w:numId w:val="2"/>
        </w:numPr>
        <w:spacing w:after="60"/>
      </w:pPr>
      <w:r>
        <w:rPr>
          <w:rFonts w:ascii="Arial" w:cs="Arial" w:eastAsia="Arial" w:hAnsi="Arial"/>
          <w:sz w:val="20"/>
          <w:szCs w:val="20"/>
        </w:rPr>
        <w:t xml:space="preserve">Binary classification: Predicting whether a transaction is fraudulent or legitimate</w:t>
      </w:r>
    </w:p>
    <w:p>
      <w:pPr>
        <w:pStyle w:val="ListParagraph"/>
        <w:numPr>
          <w:ilvl w:val="0"/>
          <w:numId w:val="2"/>
        </w:numPr>
        <w:spacing w:after="60"/>
      </w:pPr>
      <w:r>
        <w:rPr>
          <w:rFonts w:ascii="Arial" w:cs="Arial" w:eastAsia="Arial" w:hAnsi="Arial"/>
          <w:sz w:val="20"/>
          <w:szCs w:val="20"/>
        </w:rPr>
        <w:t xml:space="preserve">Imbalanced learning: Practising oversampling, undersampling, and threshold tuning techniques</w:t>
      </w:r>
    </w:p>
    <w:p>
      <w:pPr>
        <w:pStyle w:val="ListParagraph"/>
        <w:numPr>
          <w:ilvl w:val="0"/>
          <w:numId w:val="2"/>
        </w:numPr>
        <w:spacing w:after="60"/>
      </w:pPr>
      <w:r>
        <w:rPr>
          <w:rFonts w:ascii="Arial" w:cs="Arial" w:eastAsia="Arial" w:hAnsi="Arial"/>
          <w:sz w:val="20"/>
          <w:szCs w:val="20"/>
        </w:rPr>
        <w:t xml:space="preserve">Feature engineering: Creating derived features from datetime fields, balance deltas, and login behaviour</w:t>
      </w:r>
    </w:p>
    <w:p>
      <w:pPr>
        <w:pStyle w:val="ListParagraph"/>
        <w:numPr>
          <w:ilvl w:val="0"/>
          <w:numId w:val="2"/>
        </w:numPr>
        <w:spacing w:after="60"/>
      </w:pPr>
      <w:r>
        <w:rPr>
          <w:rFonts w:ascii="Arial" w:cs="Arial" w:eastAsia="Arial" w:hAnsi="Arial"/>
          <w:sz w:val="20"/>
          <w:szCs w:val="20"/>
        </w:rPr>
        <w:t xml:space="preserve">Model comparison: Benchmarking multiple classifiers under consistent evaluation frameworks</w:t>
      </w:r>
    </w:p>
    <w:p>
      <w:pPr>
        <w:pStyle w:val="ListParagraph"/>
        <w:numPr>
          <w:ilvl w:val="0"/>
          <w:numId w:val="2"/>
        </w:numPr>
        <w:spacing w:after="60"/>
      </w:pPr>
      <w:r>
        <w:rPr>
          <w:rFonts w:ascii="Arial" w:cs="Arial" w:eastAsia="Arial" w:hAnsi="Arial"/>
          <w:sz w:val="20"/>
          <w:szCs w:val="20"/>
        </w:rPr>
        <w:t xml:space="preserve">Risk scoring: Generating transaction-level fraud probability scores for downstream decision systems</w:t>
      </w:r>
    </w:p>
    <w:p>
      <w:pPr>
        <w:spacing w:after="100"/>
      </w:pPr>
      <w:r>
        <w:t xml:space="preserve"/>
      </w:r>
    </w:p>
    <w:p>
      <w:pPr>
        <w:pBdr>
          <w:bottom w:val="single" w:color="1F4E79" w:sz="6" w:space="1"/>
        </w:pBdr>
        <w:spacing w:after="200"/>
      </w:pPr>
      <w:r>
        <w:t xml:space="preserve"/>
      </w:r>
    </w:p>
    <w:p>
      <w:pPr>
        <w:pStyle w:val="Heading1"/>
        <w:spacing w:after="120" w:before="300"/>
      </w:pPr>
      <w:r>
        <w:rPr>
          <w:rFonts w:ascii="Arial" w:cs="Arial" w:eastAsia="Arial" w:hAnsi="Arial"/>
          <w:b/>
          <w:bCs/>
          <w:color w:val="1F4E79"/>
          <w:sz w:val="28"/>
          <w:szCs w:val="28"/>
        </w:rPr>
        <w:t xml:space="preserve">6. Dataset Limitations &amp; Caveats</w:t>
      </w:r>
    </w:p>
    <w:p>
      <w:pPr>
        <w:pStyle w:val="ListParagraph"/>
        <w:numPr>
          <w:ilvl w:val="0"/>
          <w:numId w:val="2"/>
        </w:numPr>
        <w:spacing w:after="60"/>
      </w:pPr>
      <w:r>
        <w:rPr>
          <w:rFonts w:ascii="Arial" w:cs="Arial" w:eastAsia="Arial" w:hAnsi="Arial"/>
          <w:sz w:val="20"/>
          <w:szCs w:val="20"/>
        </w:rPr>
        <w:t xml:space="preserve">Synthetic data may not capture all edge cases or nuances of real-world fraud patterns</w:t>
      </w:r>
    </w:p>
    <w:p>
      <w:pPr>
        <w:pStyle w:val="ListParagraph"/>
        <w:numPr>
          <w:ilvl w:val="0"/>
          <w:numId w:val="2"/>
        </w:numPr>
        <w:spacing w:after="60"/>
      </w:pPr>
      <w:r>
        <w:rPr>
          <w:rFonts w:ascii="Arial" w:cs="Arial" w:eastAsia="Arial" w:hAnsi="Arial"/>
          <w:sz w:val="20"/>
          <w:szCs w:val="20"/>
        </w:rPr>
        <w:t xml:space="preserve">Class imbalance requires special handling; naive accuracy metrics are misleading</w:t>
      </w:r>
    </w:p>
    <w:p>
      <w:pPr>
        <w:pStyle w:val="ListParagraph"/>
        <w:numPr>
          <w:ilvl w:val="0"/>
          <w:numId w:val="2"/>
        </w:numPr>
        <w:spacing w:after="60"/>
      </w:pPr>
      <w:r>
        <w:rPr>
          <w:rFonts w:ascii="Arial" w:cs="Arial" w:eastAsia="Arial" w:hAnsi="Arial"/>
          <w:sz w:val="20"/>
          <w:szCs w:val="20"/>
        </w:rPr>
        <w:t xml:space="preserve">Identifier columns (TransactionID, AccountID, MerchantID) must be excluded from modelling features</w:t>
      </w:r>
    </w:p>
    <w:p>
      <w:pPr>
        <w:pStyle w:val="ListParagraph"/>
        <w:numPr>
          <w:ilvl w:val="0"/>
          <w:numId w:val="2"/>
        </w:numPr>
        <w:spacing w:after="60"/>
      </w:pPr>
      <w:r>
        <w:rPr>
          <w:rFonts w:ascii="Arial" w:cs="Arial" w:eastAsia="Arial" w:hAnsi="Arial"/>
          <w:sz w:val="20"/>
          <w:szCs w:val="20"/>
        </w:rPr>
        <w:t xml:space="preserve">IP Address and DeviceID are alphanumeric identifiers and require encoding before use in ML models</w:t>
      </w:r>
    </w:p>
    <w:p>
      <w:pPr>
        <w:pStyle w:val="ListParagraph"/>
        <w:numPr>
          <w:ilvl w:val="0"/>
          <w:numId w:val="2"/>
        </w:numPr>
        <w:spacing w:after="60"/>
      </w:pPr>
      <w:r>
        <w:rPr>
          <w:rFonts w:ascii="Arial" w:cs="Arial" w:eastAsia="Arial" w:hAnsi="Arial"/>
          <w:sz w:val="20"/>
          <w:szCs w:val="20"/>
        </w:rPr>
        <w:t xml:space="preserve">DateTime fields require feature extraction (e.g., hour, day-of-week, time since last transaction)</w:t>
      </w:r>
    </w:p>
    <w:p>
      <w:pPr>
        <w:pStyle w:val="ListParagraph"/>
        <w:numPr>
          <w:ilvl w:val="0"/>
          <w:numId w:val="2"/>
        </w:numPr>
        <w:spacing w:after="60"/>
      </w:pPr>
      <w:r>
        <w:rPr>
          <w:rFonts w:ascii="Arial" w:cs="Arial" w:eastAsia="Arial" w:hAnsi="Arial"/>
          <w:sz w:val="20"/>
          <w:szCs w:val="20"/>
        </w:rPr>
        <w:t xml:space="preserve">The dataset is not intended as a primary data source for academic publications (per author notes)</w:t>
      </w:r>
    </w:p>
    <w:p>
      <w:pPr>
        <w:spacing w:after="100"/>
      </w:pPr>
      <w:r>
        <w:t xml:space="preserve"/>
      </w:r>
    </w:p>
    <w:p>
      <w:pPr>
        <w:pBdr>
          <w:bottom w:val="single" w:color="1F4E79" w:sz="6" w:space="1"/>
        </w:pBdr>
        <w:spacing w:after="200"/>
      </w:pPr>
      <w:r>
        <w:t xml:space="preserve"/>
      </w:r>
    </w:p>
    <w:p>
      <w:pPr>
        <w:pStyle w:val="Heading1"/>
        <w:spacing w:after="120" w:before="300"/>
      </w:pPr>
      <w:r>
        <w:rPr>
          <w:rFonts w:ascii="Arial" w:cs="Arial" w:eastAsia="Arial" w:hAnsi="Arial"/>
          <w:b/>
          <w:bCs/>
          <w:color w:val="1F4E79"/>
          <w:sz w:val="28"/>
          <w:szCs w:val="28"/>
        </w:rPr>
        <w:t xml:space="preserve">7. Data Source &amp; Access</w:t>
      </w:r>
    </w:p>
    <w:p>
      <w:pPr>
        <w:spacing w:after="100"/>
      </w:pPr>
      <w:r>
        <w:rPr>
          <w:rFonts w:ascii="Arial" w:cs="Arial" w:eastAsia="Arial" w:hAnsi="Arial"/>
          <w:sz w:val="20"/>
          <w:szCs w:val="20"/>
        </w:rPr>
        <w:t xml:space="preserve">Source: Kaggle – Bank Transaction Fraud Detection</w:t>
      </w:r>
    </w:p>
    <w:p>
      <w:pPr>
        <w:spacing w:after="100"/>
      </w:pPr>
      <w:r>
        <w:rPr>
          <w:rFonts w:ascii="Arial" w:cs="Arial" w:eastAsia="Arial" w:hAnsi="Arial"/>
          <w:sz w:val="20"/>
          <w:szCs w:val="20"/>
        </w:rPr>
        <w:t xml:space="preserve">Author: marusagar</w:t>
      </w:r>
    </w:p>
    <w:p>
      <w:pPr>
        <w:spacing w:after="100"/>
      </w:pPr>
      <w:r>
        <w:rPr>
          <w:rFonts w:ascii="Arial" w:cs="Arial" w:eastAsia="Arial" w:hAnsi="Arial"/>
          <w:sz w:val="20"/>
          <w:szCs w:val="20"/>
        </w:rPr>
        <w:t xml:space="preserve">URL: https://www.kaggle.com/datasets/marusagar/bank-transaction-fraud-detection</w:t>
      </w:r>
    </w:p>
    <w:p>
      <w:pPr>
        <w:spacing w:after="100"/>
      </w:pPr>
      <w:r>
        <w:rPr>
          <w:rFonts w:ascii="Arial" w:cs="Arial" w:eastAsia="Arial" w:hAnsi="Arial"/>
          <w:sz w:val="20"/>
          <w:szCs w:val="20"/>
        </w:rPr>
        <w:t xml:space="preserve">Notebook: https://www.kaggle.com/code/marusagar/bank-transaction-fraud-detection-accuracy-95</w:t>
      </w:r>
    </w:p>
    <w:p>
      <w:pPr>
        <w:spacing w:after="100"/>
      </w:pPr>
      <w:r>
        <w:rPr>
          <w:rFonts w:ascii="Arial" w:cs="Arial" w:eastAsia="Arial" w:hAnsi="Arial"/>
          <w:sz w:val="20"/>
          <w:szCs w:val="20"/>
        </w:rPr>
        <w:t xml:space="preserve">Published: February 2025</w:t>
      </w:r>
    </w:p>
    <w:p>
      <w:pPr>
        <w:spacing w:after="100"/>
      </w:pPr>
      <w:r>
        <w:rPr>
          <w:rFonts w:ascii="Arial" w:cs="Arial" w:eastAsia="Arial" w:hAnsi="Arial"/>
          <w:sz w:val="20"/>
          <w:szCs w:val="20"/>
        </w:rPr>
        <w:t xml:space="preserve">Access: Public (Kaggle account required for download)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Dataset Overview | Bank Transaction Fraud Detection | Group A – Member 1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2026-06-24T08:43:37.683Z</dcterms:created>
  <dcterms:modified xsi:type="dcterms:W3CDTF">2026-06-24T08:43:37.684Z</dcterms:modified>
</cp:coreProperties>
</file>

<file path=docProps/custom.xml><?xml version="1.0" encoding="utf-8"?>
<Properties xmlns="http://schemas.openxmlformats.org/officeDocument/2006/custom-properties" xmlns:vt="http://schemas.openxmlformats.org/officeDocument/2006/docPropsVTypes"/>
</file>