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0"/>
          <w:szCs w:val="40"/>
        </w:rPr>
        <w:t xml:space="preserve">BANK TRANSACTION FRAUD DETECTION</w:t>
      </w:r>
    </w:p>
    <w:p>
      <w:pPr>
        <w:spacing w:after="60"/>
        <w:jc w:val="center"/>
      </w:pPr>
      <w:r>
        <w:rPr>
          <w:rFonts w:ascii="Arial" w:cs="Arial" w:eastAsia="Arial" w:hAnsi="Arial"/>
          <w:b/>
          <w:bCs/>
          <w:color w:val="2E74B5"/>
          <w:sz w:val="32"/>
          <w:szCs w:val="32"/>
        </w:rPr>
        <w:t xml:space="preserve">Problem Statement</w:t>
      </w:r>
    </w:p>
    <w:p>
      <w:pPr>
        <w:spacing w:after="60"/>
        <w:jc w:val="center"/>
      </w:pPr>
      <w:r>
        <w:rPr>
          <w:rFonts w:ascii="Arial" w:cs="Arial" w:eastAsia="Arial" w:hAnsi="Arial"/>
          <w:b/>
          <w:bCs/>
          <w:color w:val="444444"/>
          <w:sz w:val="22"/>
          <w:szCs w:val="22"/>
        </w:rPr>
        <w:t xml:space="preserve">Group A – Member 1 | Data Collection &amp; Understanding</w:t>
      </w:r>
    </w:p>
    <w:p>
      <w:pPr>
        <w:spacing w:after="60"/>
        <w:jc w:val="center"/>
      </w:pPr>
      <w:r>
        <w:rPr>
          <w:rFonts w:ascii="Arial" w:cs="Arial" w:eastAsia="Arial" w:hAnsi="Arial"/>
          <w:b w:val="false"/>
          <w:bCs w:val="false"/>
          <w:color w:val="666666"/>
          <w:sz w:val="20"/>
          <w:szCs w:val="20"/>
        </w:rPr>
        <w:t xml:space="preserve">CRISP-DM Phase 1 | June 2026</w:t>
      </w:r>
    </w:p>
    <w:p>
      <w:pPr>
        <w:spacing w:after="100"/>
      </w:pPr>
      <w:r>
        <w:t xml:space="preserve"/>
      </w:r>
    </w:p>
    <w:p>
      <w:pPr>
        <w:pBdr>
          <w:bottom w:val="single" w:color="2E74B5" w:sz="6" w:space="1"/>
        </w:pBdr>
        <w:spacing w:after="200"/>
      </w:pPr>
      <w:r>
        <w:t xml:space="preserve"/>
      </w:r>
    </w:p>
    <w:p>
      <w:pPr>
        <w:pStyle w:val="Heading1"/>
        <w:spacing w:after="120" w:before="300"/>
      </w:pPr>
      <w:r>
        <w:rPr>
          <w:rFonts w:ascii="Arial" w:cs="Arial" w:eastAsia="Arial" w:hAnsi="Arial"/>
          <w:b/>
          <w:bCs/>
          <w:color w:val="1F4E79"/>
          <w:sz w:val="28"/>
          <w:szCs w:val="28"/>
        </w:rPr>
        <w:t xml:space="preserve">1. 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Transaction Fraud Detection using Machine Learning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Project Phase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CRISP-DM Phase 1 – Business Understanding</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Team Role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A – Member 1 (Data Collection &amp; Understanding)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Dataset 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 marusagar (Bank Transaction Fraud Detection, Feb 2025)</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ML 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Classification (Supervised Learning)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 Variable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IsFraud (0 = Legitimate, 1 = Fraudulent)</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Methodology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CRISP-DM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bl>
    <w:p>
      <w:pPr>
        <w:spacing w:after="100"/>
      </w:pPr>
      <w:r>
        <w:t xml:space="preserve"/>
      </w:r>
    </w:p>
    <w:p>
      <w:pPr>
        <w:spacing w:after="100"/>
      </w:pPr>
      <w:r>
        <w:t xml:space="preserve"/>
      </w:r>
    </w:p>
    <w:p>
      <w:pPr>
        <w:pBdr>
          <w:bottom w:val="single" w:color="2E74B5" w:sz="6" w:space="1"/>
        </w:pBdr>
        <w:spacing w:after="200"/>
      </w:pPr>
      <w:r>
        <w:t xml:space="preserve"/>
      </w:r>
    </w:p>
    <w:p>
      <w:pPr>
        <w:pStyle w:val="Heading1"/>
        <w:spacing w:after="120" w:before="300"/>
      </w:pPr>
      <w:r>
        <w:rPr>
          <w:rFonts w:ascii="Arial" w:cs="Arial" w:eastAsia="Arial" w:hAnsi="Arial"/>
          <w:b/>
          <w:bCs/>
          <w:color w:val="1F4E79"/>
          <w:sz w:val="28"/>
          <w:szCs w:val="28"/>
        </w:rPr>
        <w:t xml:space="preserve">2. Context &amp; Background</w:t>
      </w:r>
    </w:p>
    <w:p>
      <w:pPr>
        <w:spacing w:after="100"/>
      </w:pPr>
      <w:r>
        <w:rPr>
          <w:rFonts w:ascii="Arial" w:cs="Arial" w:eastAsia="Arial" w:hAnsi="Arial"/>
          <w:sz w:val="20"/>
          <w:szCs w:val="20"/>
        </w:rPr>
        <w:t xml:space="preserve">Financial fraud is one of the most significant challenges facing the global banking industry. As digital banking channels — including mobile banking, online banking, and ATM transactions — have proliferated, so too have the opportunities for malicious actors to exploit weaknesses in transaction systems. Fraudulent transactions cause substantial financial losses for banks, erode customer trust, and impose compliance burdens on financial institutions.</w:t>
      </w:r>
    </w:p>
    <w:p>
      <w:pPr>
        <w:spacing w:after="100"/>
      </w:pPr>
      <w:r>
        <w:t xml:space="preserve"/>
      </w:r>
    </w:p>
    <w:p>
      <w:pPr>
        <w:spacing w:after="100"/>
      </w:pPr>
      <w:r>
        <w:rPr>
          <w:rFonts w:ascii="Arial" w:cs="Arial" w:eastAsia="Arial" w:hAnsi="Arial"/>
          <w:sz w:val="20"/>
          <w:szCs w:val="20"/>
        </w:rPr>
        <w:t xml:space="preserve">According to global estimates, banks and payment processors lose hundreds of billions of dollars annually to fraud. Traditional rule-based fraud detection systems are insufficient in modern environments due to their limited adaptability to novel fraud patterns, their high false-positive rates (legitimate transactions incorrectly flagged as fraud), and their inability to process the volume of real-time transactions in digital banking systems.</w:t>
      </w:r>
    </w:p>
    <w:p>
      <w:pPr>
        <w:spacing w:after="100"/>
      </w:pPr>
      <w:r>
        <w:t xml:space="preserve"/>
      </w:r>
    </w:p>
    <w:p>
      <w:pPr>
        <w:spacing w:after="100"/>
      </w:pPr>
      <w:r>
        <w:rPr>
          <w:rFonts w:ascii="Arial" w:cs="Arial" w:eastAsia="Arial" w:hAnsi="Arial"/>
          <w:sz w:val="20"/>
          <w:szCs w:val="20"/>
        </w:rPr>
        <w:t xml:space="preserve">Machine learning offers a transformative alternative. ML-based fraud detection systems can learn from historical transaction data, identify complex non-linear patterns, adapt to evolving fraud behaviour, and operate at scale — making them an essential tool in the modern financial security arsenal.</w:t>
      </w:r>
    </w:p>
    <w:p>
      <w:pPr>
        <w:spacing w:after="100"/>
      </w:pPr>
      <w:r>
        <w:t xml:space="preserve"/>
      </w:r>
    </w:p>
    <w:p>
      <w:pPr>
        <w:pBdr>
          <w:bottom w:val="single" w:color="2E74B5" w:sz="6" w:space="1"/>
        </w:pBdr>
        <w:spacing w:after="200"/>
      </w:pPr>
      <w:r>
        <w:t xml:space="preserve"/>
      </w:r>
    </w:p>
    <w:p>
      <w:pPr>
        <w:pStyle w:val="Heading1"/>
        <w:spacing w:after="120" w:before="300"/>
      </w:pPr>
      <w:r>
        <w:rPr>
          <w:rFonts w:ascii="Arial" w:cs="Arial" w:eastAsia="Arial" w:hAnsi="Arial"/>
          <w:b/>
          <w:bCs/>
          <w:color w:val="1F4E79"/>
          <w:sz w:val="28"/>
          <w:szCs w:val="28"/>
        </w:rPr>
        <w:t xml:space="preserve">3. Problem Statement</w:t>
      </w:r>
    </w:p>
    <w:p>
      <w:pPr>
        <w:pBdr>
          <w:left w:val="single" w:color="2E74B5" w:sz="12" w:space="1"/>
        </w:pBdr>
        <w:shd w:fill="DEEAF1" w:val="clear"/>
        <w:spacing w:after="160"/>
        <w:ind w:left="360"/>
      </w:pPr>
      <w:r>
        <w:rPr>
          <w:rFonts w:ascii="Arial" w:cs="Arial" w:eastAsia="Arial" w:hAnsi="Arial"/>
          <w:b/>
          <w:bCs/>
          <w:i/>
          <w:iCs/>
          <w:color w:val="1F4E79"/>
          <w:sz w:val="22"/>
          <w:szCs w:val="22"/>
        </w:rPr>
        <w:t xml:space="preserve">Given a dataset of historical bank transactions, each described by a set of transactional, demographic, digital, and geographic features, the objective is to build a supervised binary classification model that accurately identifies whether a given transaction is fraudulent (IsFraud = 1) or legitimate (IsFraud = 0).</w:t>
      </w:r>
    </w:p>
    <w:p>
      <w:pPr>
        <w:spacing w:after="100"/>
      </w:pPr>
      <w:r>
        <w:t xml:space="preserve"/>
      </w:r>
    </w:p>
    <w:p>
      <w:pPr>
        <w:spacing w:after="100"/>
      </w:pPr>
      <w:r>
        <w:rPr>
          <w:rFonts w:ascii="Arial" w:cs="Arial" w:eastAsia="Arial" w:hAnsi="Arial"/>
          <w:sz w:val="20"/>
          <w:szCs w:val="20"/>
        </w:rPr>
        <w:t xml:space="preserve">The problem is characterised by the following specific challenges:</w:t>
      </w:r>
    </w:p>
    <w:p>
      <w:pPr>
        <w:spacing w:after="100"/>
      </w:pPr>
      <w:r>
        <w:t xml:space="preserve"/>
      </w:r>
    </w:p>
    <w:p>
      <w:pPr>
        <w:pStyle w:val="ListParagraph"/>
        <w:numPr>
          <w:ilvl w:val="0"/>
          <w:numId w:val="2"/>
        </w:numPr>
        <w:spacing w:after="60"/>
      </w:pPr>
      <w:r>
        <w:rPr>
          <w:rFonts w:ascii="Arial" w:cs="Arial" w:eastAsia="Arial" w:hAnsi="Arial"/>
          <w:sz w:val="20"/>
          <w:szCs w:val="20"/>
        </w:rPr>
        <w:t xml:space="preserve">Class imbalance: Fraudulent transactions represent a small minority of all records (~5–10%), requiring the use of oversampling or other imbalance-handling techniques to prevent model bias towards the majority class.</w:t>
      </w:r>
    </w:p>
    <w:p>
      <w:pPr>
        <w:pStyle w:val="ListParagraph"/>
        <w:numPr>
          <w:ilvl w:val="0"/>
          <w:numId w:val="2"/>
        </w:numPr>
        <w:spacing w:after="60"/>
      </w:pPr>
      <w:r>
        <w:rPr>
          <w:rFonts w:ascii="Arial" w:cs="Arial" w:eastAsia="Arial" w:hAnsi="Arial"/>
          <w:sz w:val="20"/>
          <w:szCs w:val="20"/>
        </w:rPr>
        <w:t xml:space="preserve">Feature diversity: The dataset spans 17 features across multiple domains (financial, demographic, digital, geographic), requiring careful feature engineering and preprocessing.</w:t>
      </w:r>
    </w:p>
    <w:p>
      <w:pPr>
        <w:pStyle w:val="ListParagraph"/>
        <w:numPr>
          <w:ilvl w:val="0"/>
          <w:numId w:val="2"/>
        </w:numPr>
        <w:spacing w:after="60"/>
      </w:pPr>
      <w:r>
        <w:rPr>
          <w:rFonts w:ascii="Arial" w:cs="Arial" w:eastAsia="Arial" w:hAnsi="Arial"/>
          <w:sz w:val="20"/>
          <w:szCs w:val="20"/>
        </w:rPr>
        <w:t xml:space="preserve">Real-time applicability: The ultimate system must be capable of making predictions at transaction time, placing constraints on model complexity and inference speed.</w:t>
      </w:r>
    </w:p>
    <w:p>
      <w:pPr>
        <w:pStyle w:val="ListParagraph"/>
        <w:numPr>
          <w:ilvl w:val="0"/>
          <w:numId w:val="2"/>
        </w:numPr>
        <w:spacing w:after="60"/>
      </w:pPr>
      <w:r>
        <w:rPr>
          <w:rFonts w:ascii="Arial" w:cs="Arial" w:eastAsia="Arial" w:hAnsi="Arial"/>
          <w:sz w:val="20"/>
          <w:szCs w:val="20"/>
        </w:rPr>
        <w:t xml:space="preserve">Cost asymmetry: The cost of a missed fraud (false negative) is far higher than the cost of a false alarm (false positive), necessitating threshold tuning and F1-score optimisation over raw accuracy.</w:t>
      </w:r>
    </w:p>
    <w:p>
      <w:pPr>
        <w:pStyle w:val="ListParagraph"/>
        <w:numPr>
          <w:ilvl w:val="0"/>
          <w:numId w:val="2"/>
        </w:numPr>
        <w:spacing w:after="60"/>
      </w:pPr>
      <w:r>
        <w:rPr>
          <w:rFonts w:ascii="Arial" w:cs="Arial" w:eastAsia="Arial" w:hAnsi="Arial"/>
          <w:sz w:val="20"/>
          <w:szCs w:val="20"/>
        </w:rPr>
        <w:t xml:space="preserve">Evolving fraud patterns: Fraud tactics change over time, requiring models that generalise well rather than overfit to historical patterns.</w:t>
      </w:r>
    </w:p>
    <w:p>
      <w:pPr>
        <w:spacing w:after="100"/>
      </w:pPr>
      <w:r>
        <w:t xml:space="preserve"/>
      </w:r>
    </w:p>
    <w:p>
      <w:pPr>
        <w:pBdr>
          <w:bottom w:val="single" w:color="2E74B5" w:sz="6" w:space="1"/>
        </w:pBdr>
        <w:spacing w:after="200"/>
      </w:pPr>
      <w:r>
        <w:t xml:space="preserve"/>
      </w:r>
    </w:p>
    <w:p>
      <w:pPr>
        <w:pStyle w:val="Heading1"/>
        <w:spacing w:after="120" w:before="300"/>
      </w:pPr>
      <w:r>
        <w:rPr>
          <w:rFonts w:ascii="Arial" w:cs="Arial" w:eastAsia="Arial" w:hAnsi="Arial"/>
          <w:b/>
          <w:bCs/>
          <w:color w:val="1F4E79"/>
          <w:sz w:val="28"/>
          <w:szCs w:val="28"/>
        </w:rPr>
        <w:t xml:space="preserve">4. Project Objectives</w:t>
      </w:r>
    </w:p>
    <w:p>
      <w:pPr>
        <w:pStyle w:val="Heading2"/>
        <w:spacing w:after="80" w:before="200"/>
      </w:pPr>
      <w:r>
        <w:rPr>
          <w:rFonts w:ascii="Arial" w:cs="Arial" w:eastAsia="Arial" w:hAnsi="Arial"/>
          <w:b/>
          <w:bCs/>
          <w:color w:val="2E74B5"/>
          <w:sz w:val="24"/>
          <w:szCs w:val="24"/>
        </w:rPr>
        <w:t xml:space="preserve">4.1 Primary Objective</w:t>
      </w:r>
    </w:p>
    <w:p>
      <w:pPr>
        <w:spacing w:after="100"/>
      </w:pPr>
      <w:r>
        <w:rPr>
          <w:rFonts w:ascii="Arial" w:cs="Arial" w:eastAsia="Arial" w:hAnsi="Arial"/>
          <w:sz w:val="20"/>
          <w:szCs w:val="20"/>
        </w:rPr>
        <w:t xml:space="preserve">To develop a machine learning pipeline that classifies bank transactions as fraudulent or legitimate with high predictive performance, measured primarily by F1-score on the minority (fraud) class.</w:t>
      </w:r>
    </w:p>
    <w:p>
      <w:pPr>
        <w:spacing w:after="100"/>
      </w:pPr>
      <w:r>
        <w:t xml:space="preserve"/>
      </w:r>
    </w:p>
    <w:p>
      <w:pPr>
        <w:pStyle w:val="Heading2"/>
        <w:spacing w:after="80" w:before="200"/>
      </w:pPr>
      <w:r>
        <w:rPr>
          <w:rFonts w:ascii="Arial" w:cs="Arial" w:eastAsia="Arial" w:hAnsi="Arial"/>
          <w:b/>
          <w:bCs/>
          <w:color w:val="2E74B5"/>
          <w:sz w:val="24"/>
          <w:szCs w:val="24"/>
        </w:rPr>
        <w:t xml:space="preserve">4.2 Technical Objectives</w:t>
      </w:r>
    </w:p>
    <w:p>
      <w:pPr>
        <w:pStyle w:val="ListParagraph"/>
        <w:numPr>
          <w:ilvl w:val="0"/>
          <w:numId w:val="3"/>
        </w:numPr>
        <w:spacing w:after="60"/>
      </w:pPr>
      <w:r>
        <w:rPr>
          <w:rFonts w:ascii="Arial" w:cs="Arial" w:eastAsia="Arial" w:hAnsi="Arial"/>
          <w:sz w:val="20"/>
          <w:szCs w:val="20"/>
        </w:rPr>
        <w:t xml:space="preserve">Perform comprehensive exploratory data analysis (EDA) to understand data distributions, class balance, and feature relationships.</w:t>
      </w:r>
    </w:p>
    <w:p>
      <w:pPr>
        <w:pStyle w:val="ListParagraph"/>
        <w:numPr>
          <w:ilvl w:val="0"/>
          <w:numId w:val="3"/>
        </w:numPr>
        <w:spacing w:after="60"/>
      </w:pPr>
      <w:r>
        <w:rPr>
          <w:rFonts w:ascii="Arial" w:cs="Arial" w:eastAsia="Arial" w:hAnsi="Arial"/>
          <w:sz w:val="20"/>
          <w:szCs w:val="20"/>
        </w:rPr>
        <w:t xml:space="preserve">Engineer and select the most predictive features from the 17 available columns.</w:t>
      </w:r>
    </w:p>
    <w:p>
      <w:pPr>
        <w:pStyle w:val="ListParagraph"/>
        <w:numPr>
          <w:ilvl w:val="0"/>
          <w:numId w:val="3"/>
        </w:numPr>
        <w:spacing w:after="60"/>
      </w:pPr>
      <w:r>
        <w:rPr>
          <w:rFonts w:ascii="Arial" w:cs="Arial" w:eastAsia="Arial" w:hAnsi="Arial"/>
          <w:sz w:val="20"/>
          <w:szCs w:val="20"/>
        </w:rPr>
        <w:t xml:space="preserve">Address class imbalance using sklearn.utils.resample with a 5:1 oversampling ratio.</w:t>
      </w:r>
    </w:p>
    <w:p>
      <w:pPr>
        <w:pStyle w:val="ListParagraph"/>
        <w:numPr>
          <w:ilvl w:val="0"/>
          <w:numId w:val="3"/>
        </w:numPr>
        <w:spacing w:after="60"/>
      </w:pPr>
      <w:r>
        <w:rPr>
          <w:rFonts w:ascii="Arial" w:cs="Arial" w:eastAsia="Arial" w:hAnsi="Arial"/>
          <w:sz w:val="20"/>
          <w:szCs w:val="20"/>
        </w:rPr>
        <w:t xml:space="preserve">Train and compare four ML classifiers: Logistic Regression, Decision Tree, Random Forest, and Gradient Boosting Classifier.</w:t>
      </w:r>
    </w:p>
    <w:p>
      <w:pPr>
        <w:pStyle w:val="ListParagraph"/>
        <w:numPr>
          <w:ilvl w:val="0"/>
          <w:numId w:val="3"/>
        </w:numPr>
        <w:spacing w:after="60"/>
      </w:pPr>
      <w:r>
        <w:rPr>
          <w:rFonts w:ascii="Arial" w:cs="Arial" w:eastAsia="Arial" w:hAnsi="Arial"/>
          <w:sz w:val="20"/>
          <w:szCs w:val="20"/>
        </w:rPr>
        <w:t xml:space="preserve">Optimise classification thresholds using F1-score maximisation across probability thresholds.</w:t>
      </w:r>
    </w:p>
    <w:p>
      <w:pPr>
        <w:pStyle w:val="ListParagraph"/>
        <w:numPr>
          <w:ilvl w:val="0"/>
          <w:numId w:val="3"/>
        </w:numPr>
        <w:spacing w:after="60"/>
      </w:pPr>
      <w:r>
        <w:rPr>
          <w:rFonts w:ascii="Arial" w:cs="Arial" w:eastAsia="Arial" w:hAnsi="Arial"/>
          <w:sz w:val="20"/>
          <w:szCs w:val="20"/>
        </w:rPr>
        <w:t xml:space="preserve">Evaluate model performance using accuracy, precision, recall, F1-score, and the confusion matrix.</w:t>
      </w:r>
    </w:p>
    <w:p>
      <w:pPr>
        <w:pStyle w:val="ListParagraph"/>
        <w:numPr>
          <w:ilvl w:val="0"/>
          <w:numId w:val="3"/>
        </w:numPr>
        <w:spacing w:after="60"/>
      </w:pPr>
      <w:r>
        <w:rPr>
          <w:rFonts w:ascii="Arial" w:cs="Arial" w:eastAsia="Arial" w:hAnsi="Arial"/>
          <w:sz w:val="20"/>
          <w:szCs w:val="20"/>
        </w:rPr>
        <w:t xml:space="preserve">Match or exceed the benchmark accuracy of 95% reported by the dataset author.</w:t>
      </w:r>
    </w:p>
    <w:p>
      <w:pPr>
        <w:spacing w:after="100"/>
      </w:pPr>
      <w:r>
        <w:t xml:space="preserve"/>
      </w:r>
    </w:p>
    <w:p>
      <w:pPr>
        <w:pBdr>
          <w:bottom w:val="single" w:color="2E74B5" w:sz="6" w:space="1"/>
        </w:pBdr>
        <w:spacing w:after="200"/>
      </w:pPr>
      <w:r>
        <w:t xml:space="preserve"/>
      </w:r>
    </w:p>
    <w:p>
      <w:pPr>
        <w:pStyle w:val="Heading1"/>
        <w:spacing w:after="120" w:before="300"/>
      </w:pPr>
      <w:r>
        <w:rPr>
          <w:rFonts w:ascii="Arial" w:cs="Arial" w:eastAsia="Arial" w:hAnsi="Arial"/>
          <w:b/>
          <w:bCs/>
          <w:color w:val="1F4E79"/>
          <w:sz w:val="28"/>
          <w:szCs w:val="28"/>
        </w:rPr>
        <w:t xml:space="preserve">5. Scope &amp; Boundaries</w:t>
      </w:r>
    </w:p>
    <w:p>
      <w:pPr>
        <w:pStyle w:val="Heading2"/>
        <w:spacing w:after="80" w:before="200"/>
      </w:pPr>
      <w:r>
        <w:rPr>
          <w:rFonts w:ascii="Arial" w:cs="Arial" w:eastAsia="Arial" w:hAnsi="Arial"/>
          <w:b/>
          <w:bCs/>
          <w:color w:val="2E74B5"/>
          <w:sz w:val="24"/>
          <w:szCs w:val="24"/>
        </w:rPr>
        <w:t xml:space="preserve">5.1 In Scope</w:t>
      </w:r>
    </w:p>
    <w:p>
      <w:pPr>
        <w:pStyle w:val="ListParagraph"/>
        <w:numPr>
          <w:ilvl w:val="0"/>
          <w:numId w:val="2"/>
        </w:numPr>
        <w:spacing w:after="60"/>
      </w:pPr>
      <w:r>
        <w:rPr>
          <w:rFonts w:ascii="Arial" w:cs="Arial" w:eastAsia="Arial" w:hAnsi="Arial"/>
          <w:sz w:val="20"/>
          <w:szCs w:val="20"/>
        </w:rPr>
        <w:t xml:space="preserve">End-to-end ML pipeline: data ingestion, EDA, preprocessing, feature engineering, model training, and evaluation</w:t>
      </w:r>
    </w:p>
    <w:p>
      <w:pPr>
        <w:pStyle w:val="ListParagraph"/>
        <w:numPr>
          <w:ilvl w:val="0"/>
          <w:numId w:val="2"/>
        </w:numPr>
        <w:spacing w:after="60"/>
      </w:pPr>
      <w:r>
        <w:rPr>
          <w:rFonts w:ascii="Arial" w:cs="Arial" w:eastAsia="Arial" w:hAnsi="Arial"/>
          <w:sz w:val="20"/>
          <w:szCs w:val="20"/>
        </w:rPr>
        <w:t xml:space="preserve">Binary classification only: the project does not extend to multi-class fraud type classification</w:t>
      </w:r>
    </w:p>
    <w:p>
      <w:pPr>
        <w:pStyle w:val="ListParagraph"/>
        <w:numPr>
          <w:ilvl w:val="0"/>
          <w:numId w:val="2"/>
        </w:numPr>
        <w:spacing w:after="60"/>
      </w:pPr>
      <w:r>
        <w:rPr>
          <w:rFonts w:ascii="Arial" w:cs="Arial" w:eastAsia="Arial" w:hAnsi="Arial"/>
          <w:sz w:val="20"/>
          <w:szCs w:val="20"/>
        </w:rPr>
        <w:t xml:space="preserve">Four classifiers: Logistic Regression, Decision Tree, Random Forest, Gradient Boosting Classifier</w:t>
      </w:r>
    </w:p>
    <w:p>
      <w:pPr>
        <w:pStyle w:val="ListParagraph"/>
        <w:numPr>
          <w:ilvl w:val="0"/>
          <w:numId w:val="2"/>
        </w:numPr>
        <w:spacing w:after="60"/>
      </w:pPr>
      <w:r>
        <w:rPr>
          <w:rFonts w:ascii="Arial" w:cs="Arial" w:eastAsia="Arial" w:hAnsi="Arial"/>
          <w:sz w:val="20"/>
          <w:szCs w:val="20"/>
        </w:rPr>
        <w:t xml:space="preserve">CRISP-DM methodology: structured across six phases</w:t>
      </w:r>
    </w:p>
    <w:p>
      <w:pPr>
        <w:pStyle w:val="ListParagraph"/>
        <w:numPr>
          <w:ilvl w:val="0"/>
          <w:numId w:val="2"/>
        </w:numPr>
        <w:spacing w:after="60"/>
      </w:pPr>
      <w:r>
        <w:rPr>
          <w:rFonts w:ascii="Arial" w:cs="Arial" w:eastAsia="Arial" w:hAnsi="Arial"/>
          <w:sz w:val="20"/>
          <w:szCs w:val="20"/>
        </w:rPr>
        <w:t xml:space="preserve">Dataset: Kaggle marusagar Bank Transaction Fraud Detection dataset</w:t>
      </w:r>
    </w:p>
    <w:p>
      <w:pPr>
        <w:spacing w:after="100"/>
      </w:pPr>
      <w:r>
        <w:t xml:space="preserve"/>
      </w:r>
    </w:p>
    <w:p>
      <w:pPr>
        <w:pStyle w:val="Heading2"/>
        <w:spacing w:after="80" w:before="200"/>
      </w:pPr>
      <w:r>
        <w:rPr>
          <w:rFonts w:ascii="Arial" w:cs="Arial" w:eastAsia="Arial" w:hAnsi="Arial"/>
          <w:b/>
          <w:bCs/>
          <w:color w:val="2E74B5"/>
          <w:sz w:val="24"/>
          <w:szCs w:val="24"/>
        </w:rPr>
        <w:t xml:space="preserve">5.2 Out of Scope</w:t>
      </w:r>
    </w:p>
    <w:p>
      <w:pPr>
        <w:pStyle w:val="ListParagraph"/>
        <w:numPr>
          <w:ilvl w:val="0"/>
          <w:numId w:val="2"/>
        </w:numPr>
        <w:spacing w:after="60"/>
      </w:pPr>
      <w:r>
        <w:rPr>
          <w:rFonts w:ascii="Arial" w:cs="Arial" w:eastAsia="Arial" w:hAnsi="Arial"/>
          <w:sz w:val="20"/>
          <w:szCs w:val="20"/>
        </w:rPr>
        <w:t xml:space="preserve">Real-time production deployment or API integration</w:t>
      </w:r>
    </w:p>
    <w:p>
      <w:pPr>
        <w:pStyle w:val="ListParagraph"/>
        <w:numPr>
          <w:ilvl w:val="0"/>
          <w:numId w:val="2"/>
        </w:numPr>
        <w:spacing w:after="60"/>
      </w:pPr>
      <w:r>
        <w:rPr>
          <w:rFonts w:ascii="Arial" w:cs="Arial" w:eastAsia="Arial" w:hAnsi="Arial"/>
          <w:sz w:val="20"/>
          <w:szCs w:val="20"/>
        </w:rPr>
        <w:t xml:space="preserve">Deep learning approaches (neural networks, LSTM for temporal sequences)</w:t>
      </w:r>
    </w:p>
    <w:p>
      <w:pPr>
        <w:pStyle w:val="ListParagraph"/>
        <w:numPr>
          <w:ilvl w:val="0"/>
          <w:numId w:val="2"/>
        </w:numPr>
        <w:spacing w:after="60"/>
      </w:pPr>
      <w:r>
        <w:rPr>
          <w:rFonts w:ascii="Arial" w:cs="Arial" w:eastAsia="Arial" w:hAnsi="Arial"/>
          <w:sz w:val="20"/>
          <w:szCs w:val="20"/>
        </w:rPr>
        <w:t xml:space="preserve">External data enrichment from additional data sources</w:t>
      </w:r>
    </w:p>
    <w:p>
      <w:pPr>
        <w:pStyle w:val="ListParagraph"/>
        <w:numPr>
          <w:ilvl w:val="0"/>
          <w:numId w:val="2"/>
        </w:numPr>
        <w:spacing w:after="60"/>
      </w:pPr>
      <w:r>
        <w:rPr>
          <w:rFonts w:ascii="Arial" w:cs="Arial" w:eastAsia="Arial" w:hAnsi="Arial"/>
          <w:sz w:val="20"/>
          <w:szCs w:val="20"/>
        </w:rPr>
        <w:t xml:space="preserve">Cost-benefit analysis of deploying the model in a production banking environment</w:t>
      </w:r>
    </w:p>
    <w:p>
      <w:pPr>
        <w:spacing w:after="100"/>
      </w:pPr>
      <w:r>
        <w:t xml:space="preserve"/>
      </w:r>
    </w:p>
    <w:p>
      <w:pPr>
        <w:pBdr>
          <w:bottom w:val="single" w:color="2E74B5" w:sz="6" w:space="1"/>
        </w:pBdr>
        <w:spacing w:after="200"/>
      </w:pPr>
      <w:r>
        <w:t xml:space="preserve"/>
      </w:r>
    </w:p>
    <w:p>
      <w:pPr>
        <w:pStyle w:val="Heading1"/>
        <w:spacing w:after="120" w:before="300"/>
      </w:pPr>
      <w:r>
        <w:rPr>
          <w:rFonts w:ascii="Arial" w:cs="Arial" w:eastAsia="Arial" w:hAnsi="Arial"/>
          <w:b/>
          <w:bCs/>
          <w:color w:val="1F4E79"/>
          <w:sz w:val="28"/>
          <w:szCs w:val="28"/>
        </w:rPr>
        <w:t xml:space="preserve">6. Constraints &amp; Assumptions</w:t>
      </w:r>
    </w:p>
    <w:p>
      <w:pPr>
        <w:pStyle w:val="Heading2"/>
        <w:spacing w:after="80" w:before="200"/>
      </w:pPr>
      <w:r>
        <w:rPr>
          <w:rFonts w:ascii="Arial" w:cs="Arial" w:eastAsia="Arial" w:hAnsi="Arial"/>
          <w:b/>
          <w:bCs/>
          <w:color w:val="2E74B5"/>
          <w:sz w:val="24"/>
          <w:szCs w:val="24"/>
        </w:rPr>
        <w:t xml:space="preserve">6.1 Constraints</w:t>
      </w:r>
    </w:p>
    <w:p>
      <w:pPr>
        <w:pStyle w:val="ListParagraph"/>
        <w:numPr>
          <w:ilvl w:val="0"/>
          <w:numId w:val="2"/>
        </w:numPr>
        <w:spacing w:after="60"/>
      </w:pPr>
      <w:r>
        <w:rPr>
          <w:rFonts w:ascii="Arial" w:cs="Arial" w:eastAsia="Arial" w:hAnsi="Arial"/>
          <w:sz w:val="20"/>
          <w:szCs w:val="20"/>
        </w:rPr>
        <w:t xml:space="preserve">The project relies exclusively on the provided Kaggle dataset; no additional real-world data is available</w:t>
      </w:r>
    </w:p>
    <w:p>
      <w:pPr>
        <w:pStyle w:val="ListParagraph"/>
        <w:numPr>
          <w:ilvl w:val="0"/>
          <w:numId w:val="2"/>
        </w:numPr>
        <w:spacing w:after="60"/>
      </w:pPr>
      <w:r>
        <w:rPr>
          <w:rFonts w:ascii="Arial" w:cs="Arial" w:eastAsia="Arial" w:hAnsi="Arial"/>
          <w:sz w:val="20"/>
          <w:szCs w:val="20"/>
        </w:rPr>
        <w:t xml:space="preserve">Computational resources are limited to standard development environments (no GPU training)</w:t>
      </w:r>
    </w:p>
    <w:p>
      <w:pPr>
        <w:pStyle w:val="ListParagraph"/>
        <w:numPr>
          <w:ilvl w:val="0"/>
          <w:numId w:val="2"/>
        </w:numPr>
        <w:spacing w:after="60"/>
      </w:pPr>
      <w:r>
        <w:rPr>
          <w:rFonts w:ascii="Arial" w:cs="Arial" w:eastAsia="Arial" w:hAnsi="Arial"/>
          <w:sz w:val="20"/>
          <w:szCs w:val="20"/>
        </w:rPr>
        <w:t xml:space="preserve">The dataset is synthetic and may not capture all real-world fraud edge cases</w:t>
      </w:r>
    </w:p>
    <w:p>
      <w:pPr>
        <w:spacing w:after="100"/>
      </w:pPr>
      <w:r>
        <w:t xml:space="preserve"/>
      </w:r>
    </w:p>
    <w:p>
      <w:pPr>
        <w:pStyle w:val="Heading2"/>
        <w:spacing w:after="80" w:before="200"/>
      </w:pPr>
      <w:r>
        <w:rPr>
          <w:rFonts w:ascii="Arial" w:cs="Arial" w:eastAsia="Arial" w:hAnsi="Arial"/>
          <w:b/>
          <w:bCs/>
          <w:color w:val="2E74B5"/>
          <w:sz w:val="24"/>
          <w:szCs w:val="24"/>
        </w:rPr>
        <w:t xml:space="preserve">6.2 Assumptions</w:t>
      </w:r>
    </w:p>
    <w:p>
      <w:pPr>
        <w:pStyle w:val="ListParagraph"/>
        <w:numPr>
          <w:ilvl w:val="0"/>
          <w:numId w:val="2"/>
        </w:numPr>
        <w:spacing w:after="60"/>
      </w:pPr>
      <w:r>
        <w:rPr>
          <w:rFonts w:ascii="Arial" w:cs="Arial" w:eastAsia="Arial" w:hAnsi="Arial"/>
          <w:sz w:val="20"/>
          <w:szCs w:val="20"/>
        </w:rPr>
        <w:t xml:space="preserve">The synthetic data sufficiently approximates real-world banking transaction distributions</w:t>
      </w:r>
    </w:p>
    <w:p>
      <w:pPr>
        <w:pStyle w:val="ListParagraph"/>
        <w:numPr>
          <w:ilvl w:val="0"/>
          <w:numId w:val="2"/>
        </w:numPr>
        <w:spacing w:after="60"/>
      </w:pPr>
      <w:r>
        <w:rPr>
          <w:rFonts w:ascii="Arial" w:cs="Arial" w:eastAsia="Arial" w:hAnsi="Arial"/>
          <w:sz w:val="20"/>
          <w:szCs w:val="20"/>
        </w:rPr>
        <w:t xml:space="preserve">IsFraud labels in the dataset are accurate and trustworthy for supervised learning</w:t>
      </w:r>
    </w:p>
    <w:p>
      <w:pPr>
        <w:pStyle w:val="ListParagraph"/>
        <w:numPr>
          <w:ilvl w:val="0"/>
          <w:numId w:val="2"/>
        </w:numPr>
        <w:spacing w:after="60"/>
      </w:pPr>
      <w:r>
        <w:rPr>
          <w:rFonts w:ascii="Arial" w:cs="Arial" w:eastAsia="Arial" w:hAnsi="Arial"/>
          <w:sz w:val="20"/>
          <w:szCs w:val="20"/>
        </w:rPr>
        <w:t xml:space="preserve">Features available at prediction time include all columns except identifiers (TransactionID, AccountID)</w:t>
      </w:r>
    </w:p>
    <w:p>
      <w:pPr>
        <w:pStyle w:val="ListParagraph"/>
        <w:numPr>
          <w:ilvl w:val="0"/>
          <w:numId w:val="2"/>
        </w:numPr>
        <w:spacing w:after="60"/>
      </w:pPr>
      <w:r>
        <w:rPr>
          <w:rFonts w:ascii="Arial" w:cs="Arial" w:eastAsia="Arial" w:hAnsi="Arial"/>
          <w:sz w:val="20"/>
          <w:szCs w:val="20"/>
        </w:rPr>
        <w:t xml:space="preserve">The 5:1 oversampling ratio is sufficient to address class imbalance without causing significant overfitting</w:t>
      </w:r>
    </w:p>
    <w:p>
      <w:pPr>
        <w:spacing w:after="100"/>
      </w:pPr>
      <w:r>
        <w:t xml:space="preserve"/>
      </w:r>
    </w:p>
    <w:p>
      <w:pPr>
        <w:pBdr>
          <w:bottom w:val="single" w:color="2E74B5" w:sz="6" w:space="1"/>
        </w:pBdr>
        <w:spacing w:after="200"/>
      </w:pPr>
      <w:r>
        <w:t xml:space="preserve"/>
      </w:r>
    </w:p>
    <w:p>
      <w:pPr>
        <w:pStyle w:val="Heading1"/>
        <w:spacing w:after="120" w:before="300"/>
      </w:pPr>
      <w:r>
        <w:rPr>
          <w:rFonts w:ascii="Arial" w:cs="Arial" w:eastAsia="Arial" w:hAnsi="Arial"/>
          <w:b/>
          <w:bCs/>
          <w:color w:val="1F4E79"/>
          <w:sz w:val="28"/>
          <w:szCs w:val="28"/>
        </w:rPr>
        <w:t xml:space="preserve">7.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Minimum Target</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Stretch Target</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Overall Accuracy</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90%</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95% (benchmark)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F1-Score (Fraud class)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Recall (Fraud class)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0.80</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0.90+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(Fraud class)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False Negative Rate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&lt; 20%</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&lt; 10%</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Problem Statement | Bank Transaction Fraud Detection | Group A – Member 1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2026-06-24T08:47:18.294Z</dcterms:created>
  <dcterms:modified xsi:type="dcterms:W3CDTF">2026-06-24T08:47:18.294Z</dcterms:modified>
</cp:coreProperties>
</file>

<file path=docProps/custom.xml><?xml version="1.0" encoding="utf-8"?>
<Properties xmlns="http://schemas.openxmlformats.org/officeDocument/2006/custom-properties" xmlns:vt="http://schemas.openxmlformats.org/officeDocument/2006/docPropsVTypes"/>
</file>