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jc w:val="center"/>
        <w:rPr>
          <w:rFonts w:hint="eastAsia"/>
        </w:rPr>
      </w:pPr>
      <w:r>
        <w:rPr>
          <w:b/>
          <w:sz w:val="40"/>
        </w:rPr>
        <w:t>Malaria Incidence Trends in Nigeria</w:t>
      </w:r>
    </w:p>
    <w:p>
      <w:pPr>
        <w:pStyle w:val="style0"/>
        <w:jc w:val="center"/>
        <w:rPr>
          <w:rFonts w:hint="eastAsia"/>
        </w:rPr>
      </w:pPr>
      <w:r>
        <w:rPr>
          <w:b/>
        </w:rPr>
        <w:t>Project Report</w:t>
      </w:r>
    </w:p>
    <w:p>
      <w:pPr>
        <w:pStyle w:val="style0"/>
        <w:spacing w:before="160"/>
        <w:rPr>
          <w:rFonts w:hint="eastAsia"/>
        </w:rPr>
      </w:pPr>
      <w:r>
        <w:rPr>
          <w:b/>
          <w:sz w:val="26"/>
        </w:rPr>
        <w:t>1. Project Overview</w:t>
      </w:r>
    </w:p>
    <w:p>
      <w:pPr>
        <w:pStyle w:val="style0"/>
        <w:rPr>
          <w:rFonts w:hint="eastAsia"/>
        </w:rPr>
      </w:pPr>
      <w:r>
        <w:t xml:space="preserve">This project </w:t>
      </w:r>
      <w:r>
        <w:t>analyse</w:t>
      </w:r>
      <w:r>
        <w:t xml:space="preserve"> long-term malaria incidence trends in Nigeria using Power BI. The objective is to understand how the estimated malaria incidence rate has changed over time, identify the highest and lowest recorded levels, and provide a limited comparison between Nigeria and selected countries. Nigeria remains the main focus throughout the analysis.</w:t>
      </w:r>
    </w:p>
    <w:p>
      <w:pPr>
        <w:pStyle w:val="style0"/>
        <w:spacing w:before="160"/>
        <w:rPr>
          <w:rFonts w:hint="eastAsia"/>
        </w:rPr>
      </w:pPr>
      <w:r>
        <w:rPr>
          <w:b/>
          <w:sz w:val="26"/>
        </w:rPr>
        <w:t>2. Data Source</w:t>
      </w:r>
    </w:p>
    <w:p>
      <w:pPr>
        <w:pStyle w:val="style0"/>
        <w:rPr>
          <w:rFonts w:hint="eastAsia"/>
        </w:rPr>
      </w:pPr>
      <w:r>
        <w:t>The dataset contains annual malaria incidence observations for multiple countries. The main measure is estimated malaria incidence expressed as a rate per 1,000 population at risk. The dataset also provides lower and upper estimates associated with the reported incidence rate.</w:t>
      </w:r>
    </w:p>
    <w:p>
      <w:pPr>
        <w:pStyle w:val="style48"/>
        <w:rPr>
          <w:rFonts w:hint="eastAsia"/>
        </w:rPr>
      </w:pPr>
      <w:r>
        <w:t>Year — observation year.</w:t>
      </w:r>
    </w:p>
    <w:p>
      <w:pPr>
        <w:pStyle w:val="style48"/>
        <w:rPr>
          <w:rFonts w:hint="eastAsia"/>
        </w:rPr>
      </w:pPr>
      <w:r>
        <w:t>Country — country represented by the observation.</w:t>
      </w:r>
    </w:p>
    <w:p>
      <w:pPr>
        <w:pStyle w:val="style48"/>
        <w:rPr>
          <w:rFonts w:hint="eastAsia"/>
        </w:rPr>
      </w:pPr>
      <w:r>
        <w:t>Indicator — malaria indicator.</w:t>
      </w:r>
    </w:p>
    <w:p>
      <w:pPr>
        <w:pStyle w:val="style48"/>
        <w:rPr>
          <w:rFonts w:hint="eastAsia"/>
        </w:rPr>
      </w:pPr>
      <w:r>
        <w:t>Incidence Rate — estimated malaria incidence per 1,000 population at risk.</w:t>
      </w:r>
    </w:p>
    <w:p>
      <w:pPr>
        <w:pStyle w:val="style48"/>
        <w:rPr>
          <w:rFonts w:hint="eastAsia"/>
        </w:rPr>
      </w:pPr>
      <w:r>
        <w:t>Lower Estimate — lower estimate for the incidence measure.</w:t>
      </w:r>
    </w:p>
    <w:p>
      <w:pPr>
        <w:pStyle w:val="style48"/>
        <w:rPr>
          <w:rFonts w:hint="eastAsia"/>
        </w:rPr>
      </w:pPr>
      <w:r>
        <w:t>Upper Estimate — upper estimate for the incidence measure.</w:t>
      </w:r>
    </w:p>
    <w:p>
      <w:pPr>
        <w:pStyle w:val="style0"/>
        <w:spacing w:before="160"/>
        <w:rPr>
          <w:rFonts w:hint="eastAsia"/>
        </w:rPr>
      </w:pPr>
      <w:r>
        <w:rPr>
          <w:b/>
          <w:sz w:val="26"/>
        </w:rPr>
        <w:t>3. Data Preparation</w:t>
      </w:r>
    </w:p>
    <w:p>
      <w:pPr>
        <w:pStyle w:val="style0"/>
        <w:rPr>
          <w:rFonts w:hint="eastAsia"/>
        </w:rPr>
      </w:pPr>
      <w:r>
        <w:t>The complete country dataset was retained because other countries are needed for one comparison visual. The data was prepared in Power Query and loaded into Power BI.</w:t>
      </w:r>
    </w:p>
    <w:p>
      <w:pPr>
        <w:pStyle w:val="style48"/>
        <w:rPr>
          <w:rFonts w:hint="eastAsia"/>
        </w:rPr>
      </w:pPr>
      <w:r>
        <w:t>Renamed technical column names to simpler names: Year, Country, Indicator, Incidence Rate, Lower Estimate and Upper Estimate.</w:t>
      </w:r>
    </w:p>
    <w:p>
      <w:pPr>
        <w:pStyle w:val="style48"/>
        <w:rPr>
          <w:rFonts w:hint="eastAsia"/>
        </w:rPr>
      </w:pPr>
      <w:r>
        <w:t>Set Year as a whole number.</w:t>
      </w:r>
    </w:p>
    <w:p>
      <w:pPr>
        <w:pStyle w:val="style48"/>
        <w:rPr>
          <w:rFonts w:hint="eastAsia"/>
        </w:rPr>
      </w:pPr>
      <w:r>
        <w:t>Set Country and Indicator as text.</w:t>
      </w:r>
    </w:p>
    <w:p>
      <w:pPr>
        <w:pStyle w:val="style48"/>
        <w:rPr>
          <w:rFonts w:hint="eastAsia"/>
        </w:rPr>
      </w:pPr>
      <w:r>
        <w:t>Set the three rate fields as decimal numbers.</w:t>
      </w:r>
    </w:p>
    <w:p>
      <w:pPr>
        <w:pStyle w:val="style48"/>
        <w:rPr>
          <w:rFonts w:hint="eastAsia"/>
        </w:rPr>
      </w:pPr>
      <w:r>
        <w:t>Used Nigeria as the primary focus through Power BI calculations and visual filters rather than deleting other countries.</w:t>
      </w:r>
    </w:p>
    <w:p>
      <w:pPr>
        <w:pStyle w:val="style0"/>
        <w:spacing w:before="160"/>
        <w:rPr>
          <w:rFonts w:hint="eastAsia"/>
        </w:rPr>
      </w:pPr>
      <w:r>
        <w:rPr>
          <w:b/>
          <w:sz w:val="26"/>
        </w:rPr>
        <w:t>4. Analytical Approach</w:t>
      </w:r>
    </w:p>
    <w:p>
      <w:pPr>
        <w:pStyle w:val="style0"/>
        <w:rPr>
          <w:rFonts w:hint="eastAsia"/>
        </w:rPr>
      </w:pPr>
      <w:r>
        <w:t>The dashboard answers three main questions:</w:t>
      </w:r>
    </w:p>
    <w:p>
      <w:pPr>
        <w:pStyle w:val="style48"/>
        <w:rPr>
          <w:rFonts w:hint="eastAsia"/>
        </w:rPr>
      </w:pPr>
      <w:r>
        <w:t>How has malaria incidence in Nigeria changed over time?</w:t>
      </w:r>
    </w:p>
    <w:p>
      <w:pPr>
        <w:pStyle w:val="style48"/>
        <w:rPr>
          <w:rFonts w:hint="eastAsia"/>
        </w:rPr>
      </w:pPr>
      <w:r>
        <w:t>What were Nigeria's highest and lowest recorded incidence levels?</w:t>
      </w:r>
    </w:p>
    <w:p>
      <w:pPr>
        <w:pStyle w:val="style48"/>
        <w:rPr>
          <w:rFonts w:hint="eastAsia"/>
        </w:rPr>
      </w:pPr>
      <w:r>
        <w:t>How does Nigeria's trend compare with selected countries?</w:t>
      </w:r>
    </w:p>
    <w:p>
      <w:pPr>
        <w:pStyle w:val="style0"/>
        <w:spacing w:before="160"/>
        <w:rPr>
          <w:rFonts w:hint="eastAsia"/>
        </w:rPr>
      </w:pPr>
      <w:r>
        <w:rPr>
          <w:b/>
          <w:sz w:val="26"/>
        </w:rPr>
        <w:t>5. Dashboard Design</w:t>
      </w:r>
    </w:p>
    <w:p>
      <w:pPr>
        <w:pStyle w:val="style0"/>
        <w:rPr>
          <w:rFonts w:hint="eastAsia"/>
        </w:rPr>
      </w:pPr>
      <w:r>
        <w:t xml:space="preserve">The dashboard was intentionally kept simple so that the main trend remains the focus. </w:t>
      </w:r>
      <w:r>
        <w:t>Three</w:t>
      </w:r>
      <w:r>
        <w:t xml:space="preserve"> KPI cards summarise the key figures, followed by the main Nigeria trend and one international comparison chart.</w:t>
      </w:r>
    </w:p>
    <w:p>
      <w:pPr>
        <w:pStyle w:val="style48"/>
        <w:rPr>
          <w:rFonts w:hint="eastAsia"/>
        </w:rPr>
      </w:pPr>
      <w:r>
        <w:t>Highest Incidence — highest recorded Nigerian incidence rate.</w:t>
      </w:r>
    </w:p>
    <w:p>
      <w:pPr>
        <w:pStyle w:val="style48"/>
        <w:rPr>
          <w:rFonts w:hint="eastAsia"/>
        </w:rPr>
      </w:pPr>
      <w:r>
        <w:t>Lowest Incidence — lowest recorded Nigerian incidence rate.</w:t>
      </w:r>
    </w:p>
    <w:p>
      <w:pPr>
        <w:pStyle w:val="style48"/>
        <w:rPr>
          <w:rFonts w:hint="eastAsia"/>
        </w:rPr>
      </w:pPr>
      <w:r>
        <w:t>Overall Change — percentage change between Nigeria's first and latest recorded incidence rates.</w:t>
      </w:r>
    </w:p>
    <w:p>
      <w:pPr>
        <w:pStyle w:val="style48"/>
        <w:rPr>
          <w:rFonts w:hint="eastAsia"/>
        </w:rPr>
      </w:pPr>
      <w:r>
        <w:t>Nigeria Malaria Incidence Trend — main line chart showing the long-term movement.</w:t>
      </w:r>
    </w:p>
    <w:p>
      <w:pPr>
        <w:pStyle w:val="style48"/>
        <w:rPr>
          <w:rFonts w:hint="eastAsia"/>
        </w:rPr>
      </w:pPr>
      <w:r>
        <w:t>Nigeria vs Selected Countries — comparison line chart providing international context.</w:t>
      </w:r>
    </w:p>
    <w:p>
      <w:pPr>
        <w:pStyle w:val="style0"/>
        <w:spacing w:before="160"/>
        <w:rPr>
          <w:rFonts w:hint="eastAsia"/>
        </w:rPr>
      </w:pPr>
      <w:r>
        <w:rPr>
          <w:b/>
          <w:sz w:val="26"/>
        </w:rPr>
        <w:t>6. Main Findings</w:t>
      </w:r>
    </w:p>
    <w:p>
      <w:pPr>
        <w:pStyle w:val="style0"/>
        <w:rPr>
          <w:rFonts w:hint="eastAsia"/>
        </w:rPr>
      </w:pPr>
      <w:r>
        <w:t>The main trend chart shows that malaria incidence in Nigeria has changed over the period covered by the dataset, with periods of relatively higher and lower estimated incidence.</w:t>
      </w:r>
    </w:p>
    <w:p>
      <w:pPr>
        <w:pStyle w:val="style0"/>
        <w:rPr>
          <w:rFonts w:hint="eastAsia"/>
        </w:rPr>
      </w:pPr>
      <w:r>
        <w:t>The highest and lowest incidence measures summarise the range observed in the Nigerian data, while the overall-change measure compares the first available Nigerian observation with the latest one.</w:t>
      </w:r>
    </w:p>
    <w:p>
      <w:pPr>
        <w:pStyle w:val="style0"/>
        <w:rPr>
          <w:rFonts w:hint="eastAsia"/>
        </w:rPr>
      </w:pPr>
      <w:r>
        <w:t>The selected-country comparison provides context for Nigeria's trajectory. It is intended to show similarities and differences in broad trends rather than to create a definitive ranking of countries.</w:t>
      </w:r>
    </w:p>
    <w:p>
      <w:pPr>
        <w:pStyle w:val="style0"/>
        <w:spacing w:before="160"/>
        <w:rPr>
          <w:rFonts w:hint="eastAsia"/>
        </w:rPr>
      </w:pPr>
      <w:r>
        <w:rPr>
          <w:b/>
          <w:sz w:val="26"/>
        </w:rPr>
        <w:t>7. Important Interpretation Note</w:t>
      </w:r>
    </w:p>
    <w:p>
      <w:pPr>
        <w:pStyle w:val="style0"/>
        <w:rPr>
          <w:rFonts w:hint="eastAsia"/>
        </w:rPr>
      </w:pPr>
      <w:r>
        <w:t>The dataset contains annual observations. Therefore, this project analyses long-term trends rather than monthly malaria seasonality. A genuine seasonal analysis would require monthly or more frequent observations.</w:t>
      </w:r>
    </w:p>
    <w:p>
      <w:pPr>
        <w:pStyle w:val="style0"/>
        <w:rPr>
          <w:rFonts w:hint="eastAsia"/>
        </w:rPr>
      </w:pPr>
      <w:r>
        <w:t>The main measure is an incidence rate per 1,000 population at risk, not simply a count of malaria cases.</w:t>
      </w:r>
    </w:p>
    <w:p>
      <w:pPr>
        <w:pStyle w:val="style0"/>
        <w:spacing w:before="160"/>
        <w:rPr>
          <w:rFonts w:hint="eastAsia"/>
        </w:rPr>
      </w:pPr>
      <w:r>
        <w:rPr>
          <w:b/>
          <w:sz w:val="26"/>
        </w:rPr>
        <w:t>8. Limitations</w:t>
      </w:r>
    </w:p>
    <w:p>
      <w:pPr>
        <w:pStyle w:val="style48"/>
        <w:rPr>
          <w:rFonts w:hint="eastAsia"/>
        </w:rPr>
      </w:pPr>
      <w:r>
        <w:t>Annual observations do not allow monthly or seasonal analysis.</w:t>
      </w:r>
    </w:p>
    <w:p>
      <w:pPr>
        <w:pStyle w:val="style48"/>
        <w:rPr>
          <w:rFonts w:hint="eastAsia"/>
        </w:rPr>
      </w:pPr>
      <w:r>
        <w:t>The data uses estimated incidence rates rather than a complete case-by-case record.</w:t>
      </w:r>
    </w:p>
    <w:p>
      <w:pPr>
        <w:pStyle w:val="style48"/>
        <w:rPr>
          <w:rFonts w:hint="eastAsia"/>
        </w:rPr>
      </w:pPr>
      <w:r>
        <w:t>International comparisons may be affected by differences in surveillance and estimation methods.</w:t>
      </w:r>
    </w:p>
    <w:p>
      <w:pPr>
        <w:pStyle w:val="style48"/>
        <w:rPr>
          <w:rFonts w:hint="eastAsia"/>
        </w:rPr>
      </w:pPr>
      <w:r>
        <w:t>The dashboard does not include environmental, population or healthcare-access variables.</w:t>
      </w:r>
    </w:p>
    <w:p>
      <w:pPr>
        <w:pStyle w:val="style48"/>
        <w:rPr>
          <w:rFonts w:hint="eastAsia"/>
        </w:rPr>
      </w:pPr>
      <w:r>
        <w:t>The analysis identifies trends but does not establish the causes of changes.</w:t>
      </w:r>
    </w:p>
    <w:p>
      <w:pPr>
        <w:pStyle w:val="style0"/>
        <w:spacing w:before="160"/>
        <w:rPr>
          <w:rFonts w:hint="eastAsia"/>
        </w:rPr>
      </w:pPr>
      <w:r>
        <w:rPr>
          <w:b/>
          <w:sz w:val="26"/>
        </w:rPr>
        <w:t>9. Recommendations</w:t>
      </w:r>
    </w:p>
    <w:p>
      <w:pPr>
        <w:pStyle w:val="style48"/>
        <w:rPr>
          <w:rFonts w:hint="eastAsia"/>
        </w:rPr>
      </w:pPr>
      <w:r>
        <w:t>Use monthly state-level surveillance data in a future version to analyse seasonality.</w:t>
      </w:r>
    </w:p>
    <w:p>
      <w:pPr>
        <w:pStyle w:val="style48"/>
        <w:rPr>
          <w:rFonts w:hint="eastAsia"/>
        </w:rPr>
      </w:pPr>
      <w:r>
        <w:t>Combine malaria incidence with rainfall and other environmental data to investigate possible drivers.</w:t>
      </w:r>
    </w:p>
    <w:p>
      <w:pPr>
        <w:pStyle w:val="style48"/>
        <w:rPr>
          <w:rFonts w:hint="eastAsia"/>
        </w:rPr>
      </w:pPr>
      <w:r>
        <w:t>Add state-level data to identify differences within Nigeria.</w:t>
      </w:r>
    </w:p>
    <w:p>
      <w:pPr>
        <w:pStyle w:val="style48"/>
        <w:rPr>
          <w:rFonts w:hint="eastAsia"/>
        </w:rPr>
      </w:pPr>
      <w:r>
        <w:t>Include population and healthcare indicators for additional context.</w:t>
      </w:r>
    </w:p>
    <w:p>
      <w:pPr>
        <w:pStyle w:val="style48"/>
        <w:rPr>
          <w:rFonts w:hint="eastAsia"/>
        </w:rPr>
      </w:pPr>
      <w:r>
        <w:t>Continue monitoring incidence over time rather than relying on a single year's figure.</w:t>
      </w:r>
    </w:p>
    <w:p>
      <w:pPr>
        <w:pStyle w:val="style0"/>
        <w:spacing w:before="160"/>
        <w:rPr>
          <w:rFonts w:hint="eastAsia"/>
        </w:rPr>
      </w:pPr>
      <w:r>
        <w:rPr>
          <w:b/>
          <w:sz w:val="26"/>
        </w:rPr>
        <w:t>10. Conclusion</w:t>
      </w:r>
    </w:p>
    <w:p>
      <w:pPr>
        <w:pStyle w:val="style0"/>
        <w:rPr>
          <w:rFonts w:hint="eastAsia"/>
        </w:rPr>
      </w:pPr>
      <w:r>
        <w:t>The Malaria Incidence Trends dashboard provides a clear, beginner-friendly view of long-term malaria incidence in Nigeria. By combining four summary measures, a main trend chart and one international comparison, the dashboard keeps the analysis focused while providing useful context. The project also provides a foundation for a future analysis using monthly and state-level surveillance data.</w:t>
      </w:r>
    </w:p>
    <w:sectPr>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MS Mincho">
    <w:altName w:val="ＭＳ 明朝"/>
    <w:panose1 w:val="02020609040000080304"/>
    <w:charset w:val="80"/>
    <w:family w:val="modern"/>
    <w:pitch w:val="fixed"/>
    <w:sig w:usb0="E00002FF" w:usb1="6AC7FDFB" w:usb2="08000012" w:usb3="00000000" w:csb0="0002009F" w:csb1="00000000"/>
  </w:font>
  <w:font w:name="Aptos">
    <w:altName w:val="Aptos"/>
    <w:panose1 w:val="00000000000000000000"/>
    <w:charset w:val="00"/>
    <w:family w:val="swiss"/>
    <w:pitch w:val="variable"/>
    <w:sig w:usb0="20000287" w:usb1="00000003" w:usb2="00000000" w:usb3="00000000" w:csb0="0000019F" w:csb1="00000000"/>
  </w:font>
  <w:font w:name="Calibri">
    <w:altName w:val="Calibri"/>
    <w:panose1 w:val="020f0502020000030204"/>
    <w:charset w:val="00"/>
    <w:family w:val="swiss"/>
    <w:pitch w:val="variable"/>
    <w:sig w:usb0="E4002EFF" w:usb1="C200247B" w:usb2="00000009" w:usb3="00000000" w:csb0="000001FF" w:csb1="00000000"/>
  </w:font>
  <w:font w:name="MS Gothic">
    <w:altName w:val="ＭＳ ゴシック"/>
    <w:panose1 w:val="020b0609070000080204"/>
    <w:charset w:val="80"/>
    <w:family w:val="modern"/>
    <w:pitch w:val="fixed"/>
    <w:sig w:usb0="E00002FF" w:usb1="6AC7FDFB" w:usb2="08000012" w:usb3="00000000" w:csb0="0002009F" w:csb1="00000000"/>
  </w:font>
  <w:font w:name="Courier">
    <w:altName w:val="Courier"/>
    <w:panose1 w:val="02070409020000020404"/>
    <w:charset w:val="00"/>
    <w:family w:val="auto"/>
    <w:pitch w:val="variable"/>
    <w:sig w:usb0="00000003" w:usb1="00000000" w:usb2="00000000" w:usb3="00000000" w:csb0="00000001" w:csb1="00000000"/>
  </w:font>
  <w:font w:name="ＭＳ 明朝">
    <w:altName w:val="ＭＳ 明朝"/>
    <w:panose1 w:val="00000000000000000000"/>
    <w:charset w:val="00"/>
    <w:family w:val="auto"/>
    <w:pitch w:val="default"/>
    <w:sig w:usb0="E0002AFF" w:usb1="C0007841" w:usb2="00000009" w:usb3="00000000" w:csb0="000001FF" w:csb1="00000000"/>
  </w:font>
  <w:font w:name="ＭＳ ゴシック">
    <w:altName w:val="ＭＳ ゴシック"/>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w="http://schemas.openxmlformats.org/wordprocessingml/2006/main">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sz w:val="21"/>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290b193-fa8d-4d90-b8c4-f16de3f0b02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5405d4d-0a65-416e-9fd8-988865c7725e"/>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89afa949-103a-448e-bf4d-43d9c174a09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340c8dd1-9e91-4529-9115-849a4fe9396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9a26bf9-7c36-4ab8-84bf-230d624e288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0172539c-cd4c-45a4-8648-941a7f42be8f"/>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9a11ca11-3ac9-4e5a-b802-86480d44230e"/>
    <w:basedOn w:val="style65"/>
    <w:next w:val="style4108"/>
    <w:link w:val="style180"/>
    <w:uiPriority w:val="29"/>
    <w:rPr>
      <w:i/>
      <w:iCs/>
      <w:color w:val="000000"/>
    </w:rPr>
  </w:style>
  <w:style w:type="character" w:customStyle="1" w:styleId="style4109">
    <w:name w:val="Heading 4 Char_55652bb4-14c0-4667-ae67-c2b26c1cf5c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32d110b1-90d2-4798-82f8-7fbe5ac61ba5"/>
    <w:basedOn w:val="style65"/>
    <w:next w:val="style4110"/>
    <w:link w:val="style5"/>
    <w:uiPriority w:val="9"/>
    <w:rPr>
      <w:rFonts w:ascii="Calibri" w:cs="宋体" w:eastAsia="ＭＳ ゴシック" w:hAnsi="Calibri"/>
      <w:color w:val="243f60"/>
    </w:rPr>
  </w:style>
  <w:style w:type="character" w:customStyle="1" w:styleId="style4111">
    <w:name w:val="Heading 6 Char_5963116f-be2e-4beb-92d6-204ea8c386c5"/>
    <w:basedOn w:val="style65"/>
    <w:next w:val="style4111"/>
    <w:link w:val="style6"/>
    <w:uiPriority w:val="9"/>
    <w:rPr>
      <w:rFonts w:ascii="Calibri" w:cs="宋体" w:eastAsia="ＭＳ ゴシック" w:hAnsi="Calibri"/>
      <w:i/>
      <w:iCs/>
      <w:color w:val="243f60"/>
    </w:rPr>
  </w:style>
  <w:style w:type="character" w:customStyle="1" w:styleId="style4112">
    <w:name w:val="Heading 7 Char_2b823a5c-c88d-4a0a-b12d-5350039de531"/>
    <w:basedOn w:val="style65"/>
    <w:next w:val="style4112"/>
    <w:link w:val="style7"/>
    <w:uiPriority w:val="9"/>
    <w:rPr>
      <w:rFonts w:ascii="Calibri" w:cs="宋体" w:eastAsia="ＭＳ ゴシック" w:hAnsi="Calibri"/>
      <w:i/>
      <w:iCs/>
      <w:color w:val="404040"/>
    </w:rPr>
  </w:style>
  <w:style w:type="character" w:customStyle="1" w:styleId="style4113">
    <w:name w:val="Heading 8 Char_3f519eb1-055c-474a-a2db-6f2103c00e53"/>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24b5bfb4-44dc-4d72-a2e6-66804e8c9b0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77bf4a4-1789-443c-8d3e-0609f3556e20"/>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652</Words>
  <Characters>3960</Characters>
  <Application>WPS Office</Application>
  <DocSecurity>0</DocSecurity>
  <Paragraphs>52</Paragraphs>
  <ScaleCrop>false</ScaleCrop>
  <LinksUpToDate>false</LinksUpToDate>
  <CharactersWithSpaces>4571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2026-08-20T03:10:10Z</dcterms:created>
  <dc:creator>python-docx</dc:creator>
  <dc:description>generated by python-docx</dc:description>
  <lastModifiedBy>SM-G991N</lastModifiedBy>
  <dcterms:modified xsi:type="dcterms:W3CDTF">2026-08-20T03:10:10Z</dcterms:modified>
  <revision>2</revision>
</coreProperties>
</file>

<file path=docProps/custom.xml><?xml version="1.0" encoding="utf-8"?>
<Properties xmlns="http://schemas.openxmlformats.org/officeDocument/2006/custom-properties" xmlns:vt="http://schemas.openxmlformats.org/officeDocument/2006/docPropsVTypes"/>
</file>