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40"/>
          <w:szCs w:val="40"/>
        </w:rPr>
        <w:t xml:space="preserve">2019 Hotel Procurement Spend Analysis</w:t>
      </w:r>
    </w:p>
    <w:p>
      <w:pPr>
        <w:spacing w:after="60"/>
      </w:pPr>
      <w:r>
        <w:rPr>
          <w:color w:val="64748B"/>
          <w:sz w:val="24"/>
          <w:szCs w:val="24"/>
        </w:rPr>
        <w:t xml:space="preserve">Pepsi &amp; Kimberly-Clark Spend Analysis — Methodology, Tools, and Scaling Approach</w:t>
      </w:r>
    </w:p>
    <w:p>
      <w:pPr>
        <w:spacing w:after="300"/>
      </w:pPr>
      <w:r>
        <w:rPr>
          <w:i/>
          <w:iCs/>
          <w:color w:val="64748B"/>
          <w:sz w:val="20"/>
          <w:szCs w:val="20"/>
        </w:rPr>
        <w:t xml:space="preserve">Prepared by Adarsh  |  4 Hotels: 123 Company, ABC Company, LMN Company, XYZ Company  |  2019 purchase register data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t xml:space="preserve">This document covers the end-to-end approach used to consolidate, clean, and analyze 2019 purchase register data across 4 hotels, identify Pepsi and Kimberly-Clark (KC) product spend within it, and answer the three process questions requested: (1) methodology for merging/consolidation/cleansing, (2) tools and systems used, and (3) how this would be approached at 400+ hotel scale.</w:t>
      </w:r>
    </w:p>
    <w:p>
      <w:pPr>
        <w:spacing w:after="120"/>
      </w:pPr>
      <w:r>
        <w:t xml:space="preserve">Two parallel versions of this analysis were built: a manual Excel/Power Query workbook, and a Python-automated workbook, used to cross-verify results against each other for accuracy. Both are attached alongside this document.</w:t>
      </w:r>
    </w:p>
    <w:p>
      <w:pPr>
        <w:pStyle w:val="Heading1"/>
        <w:spacing w:after="160" w:before="320"/>
      </w:pPr>
      <w:r>
        <w:t xml:space="preserve">2. Data Consolidation &amp; Schema Standardization</w:t>
      </w:r>
    </w:p>
    <w:p>
      <w:pPr>
        <w:spacing w:after="120"/>
      </w:pPr>
      <w:r>
        <w:t xml:space="preserve">Four hotel purchase-register files were received, each with different column names, layouts, and minor data-quality issues: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Hotel</w:t>
            </w:r>
          </w:p>
        </w:tc>
        <w:tc>
          <w:tcPr>
            <w:tcW w:type="dxa" w:w="14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54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formatting issue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123 Company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70,996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Standard layout; columns: Received date, Extension (=Total Cost)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ABC Company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35,117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36 columns total, 26 trailing columns blank/unused; Category not separately labeled (Store field used instead)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LMN Company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53,396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Contains BOTH a numeric 'Product' code column and a text 'Product Description' column — caused a duplicate-column-name conflict on rename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XYZ Company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89,326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Data starts at row 3; first 2 rows are blank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All four were standardized into one common schema: Hotel, Date, Supplier, Category, Product, UOM, Qty, UnitPrice, TotalCost. Consolidated result: 248,835 purchase line items, totaling ₹133,96,64,278.72 (~₹133.97 Crore) in 2019 procurement spend across the 4 properties.</w:t>
      </w:r>
    </w:p>
    <w:p>
      <w:pPr>
        <w:pStyle w:val="Heading2"/>
        <w:spacing w:after="120" w:before="240"/>
      </w:pPr>
      <w:r>
        <w:t xml:space="preserve">2.1 Manual approach — Excel / Power Query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Data → Get Data → From File → From Workbook, imported each of the 4 files into Power Query Editor.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Renamed each file's columns to the common schema inside Power Query (e.g. 'Extension' → TotalCost, 'Rec'd qty' → Qty).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Added a static custom column 'Hotel' per query (Add Column → Custom Column) hardcoding the hotel name, since this wasn't present in the source files.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Removed unused/blank trailing columns (e.g. ABC Company's 26 empty columns) via Remove Columns.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Combined all 4 queries with Home → Append Queries → Append Queries as New, loaded into a single 'Consolidated_Raw_Data' sheet.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Cleansing: converted Date to Date type, Qty/UnitPrice/TotalCost to Decimal Number type via Power Query's type-detection; added a formula column to recompute TotalCost = Qty × UnitPrice wherever TotalCost was blank.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Resolved the LMN duplicate-'Product'-column conflict by dropping the numeric product-code column and keeping only the Product Description field before renaming.</w:t>
      </w:r>
    </w:p>
    <w:p>
      <w:pPr>
        <w:pStyle w:val="Heading2"/>
        <w:spacing w:after="120" w:before="240"/>
      </w:pPr>
      <w:r>
        <w:t xml:space="preserve">2.2 Automated approach — Python (pandas)</w:t>
      </w:r>
    </w:p>
    <w:p>
      <w:pPr>
        <w:spacing w:after="120"/>
      </w:pPr>
      <w:r>
        <w:t xml:space="preserve">The same consolidation was replicated in Python for cross-verification and to handle the larger row count more efficiently: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load_hotel_file(path, column_map, skiprows=0, drop_cols=None):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 = pd.read_excel(path, skiprows=skiprows)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drop_cols: df = df.drop(columns=drop_cols)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 = df.rename(columns=column_map)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df[['Hotel','Date','Supplier','Category','Product',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'UOM','Qty','UnitPrice','TotalCost']]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all_df = pd.concat([load_hotel_file(f, cmap) for f, cmap in files], ignore_index=True)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all_df['TotalCost'] = all_df['TotalCost'].fillna(all_df['Qty'] * all_df['UnitPrice'])</w:t>
      </w:r>
    </w:p>
    <w:p>
      <w:pPr>
        <w:spacing w:after="120"/>
      </w:pPr>
    </w:p>
    <w:p>
      <w:pPr>
        <w:spacing w:after="120"/>
      </w:pPr>
      <w:r>
        <w:t xml:space="preserve">Each file was loaded with pandas.read_excel(), columns renamed via a per-file mapping dictionary, XYZ Company's file skipped its 2 blank header rows (skiprows=2), and LMN Company's numeric 'Product' column was dropped before renaming to avoid a duplicate-column clash. All 4 standardized DataFrames were concatenated with pd.concat(), dates converted with pd.to_datetime(), and numeric fields coerced with pd.to_numeric(errors='coerce'). Missing TotalCost values were recomputed as Qty × UnitPrice.</w:t>
      </w:r>
    </w:p>
    <w:p>
      <w:pPr>
        <w:pStyle w:val="Heading1"/>
        <w:spacing w:after="160" w:before="320"/>
      </w:pPr>
      <w:r>
        <w:t xml:space="preserve">3. Classification Logic: Identifying Pepsi &amp; Kimberly-Clark Products</w:t>
      </w:r>
    </w:p>
    <w:p>
      <w:pPr>
        <w:spacing w:after="120"/>
      </w:pPr>
      <w:r>
        <w:t xml:space="preserve">Neither product list mapped cleanly to the purchase data by SKU code: the Pepsi list contained brand names only (no SKUs), and while the KC list did have SKU codes, they weren't consistently embedded in the free-text product descriptions. Both were therefore identified using case-insensitive keyword/regex matching on the Product description field.</w:t>
      </w:r>
    </w:p>
    <w:p>
      <w:pPr>
        <w:pStyle w:val="Heading2"/>
        <w:spacing w:after="120" w:before="240"/>
      </w:pPr>
      <w:r>
        <w:t xml:space="preserve">3.1 Pepsi classification</w:t>
      </w:r>
    </w:p>
    <w:p>
      <w:pPr>
        <w:spacing w:after="90"/>
      </w:pPr>
      <w:r>
        <w:rPr>
          <w:b/>
          <w:bCs/>
        </w:rPr>
        <w:t xml:space="preserve">Keywords matched: </w:t>
      </w:r>
      <w:r>
        <w:t xml:space="preserve">pepsi, mirinda, 7up / 7 up, mountain dew, dukes / duke's, lehar</w:t>
      </w:r>
    </w:p>
    <w:p>
      <w:pPr>
        <w:spacing w:after="90"/>
      </w:pPr>
      <w:r>
        <w:rPr>
          <w:b/>
          <w:bCs/>
        </w:rPr>
        <w:t xml:space="preserve">Result: </w:t>
      </w:r>
      <w:r>
        <w:t xml:space="preserve">612 transactions, ₹39,55,136.14 total spend</w:t>
      </w:r>
    </w:p>
    <w:p>
      <w:pPr>
        <w:spacing w:after="120"/>
      </w:pPr>
      <w:r>
        <w:t xml:space="preserve">Excel formula used (dragged/filled down the full column, then hardened to values via Paste Special → Values):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=IF(OR(ISNUMBER(SEARCH("Pepsi",E2)),ISNUMBER(SEARCH("Mirinda",E2)),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ISNUMBER(SEARCH("7Up",E2)),ISNUMBER(SEARCH("7 Up",E2)),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ISNUMBER(SEARCH("Mountain Dew",E2)),ISNUMBER(SEARCH("Dukes",E2)),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ISNUMBER(SEARCH("Lehar",E2))),"Pepsi","")</w:t>
      </w:r>
    </w:p>
    <w:p>
      <w:pPr>
        <w:pStyle w:val="Heading2"/>
        <w:spacing w:after="120" w:before="240"/>
      </w:pPr>
      <w:r>
        <w:t xml:space="preserve">3.2 Kimberly-Clark classification — and the false-positive problem</w:t>
      </w:r>
    </w:p>
    <w:p>
      <w:pPr>
        <w:spacing w:after="90"/>
      </w:pPr>
      <w:r>
        <w:rPr>
          <w:b/>
          <w:bCs/>
        </w:rPr>
        <w:t xml:space="preserve">Keywords matched: </w:t>
      </w:r>
      <w:r>
        <w:t xml:space="preserve">kleenex, kimsoft, kimtech, wypall, micromist, kleen guard, KC professional, scott</w:t>
      </w:r>
    </w:p>
    <w:p>
      <w:pPr>
        <w:spacing w:after="120"/>
      </w:pPr>
      <w:r>
        <w:t xml:space="preserve">The keyword 'scott' is a genuine KC towel/tissue brand, but as a plain substring/word match it also matched entirely unrelated products already present in the hotels' F&amp;B purchase data: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False-positive text matched</w:t>
            </w:r>
          </w:p>
        </w:tc>
        <w:tc>
          <w:tcPr>
            <w:tcW w:type="dxa" w:w="45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product (not KC)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Scottish Salmon Fresh / Fillet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Seafood (fish)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Rice Arborio / Carnaroli Scotti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Rice / grocery item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Scottish Leader Whisky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Liquor / spirits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Scotch Brite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3M cleaning pad — a different manufacturer entirely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SCOTT BENCH ELEMENT BENCHES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Furniture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Kendall-Jackson Vintner's Reserve Zinfandel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Wine (false match on 'Jackson')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Fix applied: any row matching 'scott' was additionally checked for 'scottish', 'scotti', or 'scotch' and excluded if present; 'SCOTT BENCH' was explicitly force-excluded; 'jackson' was only counted as KC if the same text also contained 'nitrile', 'resp', or 'glove' (excludes the Kendall-Jackson wine false match).</w:t>
      </w:r>
    </w:p>
    <w:p>
      <w:pPr>
        <w:spacing w:after="120"/>
      </w:pPr>
      <w:r>
        <w:t xml:space="preserve">Excel formula (corrected):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=IF(AND(OR(ISNUMBER(SEARCH("Kleenex",E2)),ISNUMBER(SEARCH("Kimsoft",E2)),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ISNUMBER(SEARCH("Kimtech",E2)),ISNUMBER(SEARCH("Wypall",E2)),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ISNUMBER(SEARCH("Scott",E2))),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NOT(OR(ISNUMBER(SEARCH("Scottish",E2)),ISNUMBER(SEARCH("Scotti",E2)),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ISNUMBER(SEARCH("Scotch",E2))))),"KC","")</w:t>
      </w:r>
    </w:p>
    <w:p>
      <w:pPr>
        <w:spacing w:after="120"/>
      </w:pPr>
    </w:p>
    <w:p>
      <w:pPr>
        <w:spacing w:after="90"/>
      </w:pPr>
      <w:r>
        <w:rPr>
          <w:b/>
          <w:bCs/>
        </w:rPr>
        <w:t xml:space="preserve">Result after exclusions: </w:t>
      </w:r>
      <w:r>
        <w:t xml:space="preserve">308 transactions, ₹52,39,288.25 total spend</w:t>
      </w:r>
    </w:p>
    <w:p>
      <w:pPr>
        <w:spacing w:after="120"/>
      </w:pPr>
      <w:r>
        <w:t xml:space="preserve">Python used the same logic via pandas.Series.str.contains() with a regex pattern and an explicit exclusion mask, verified by printing every unique matched product string for manual visual audit before finalizing counts.</w:t>
      </w:r>
    </w:p>
    <w:p>
      <w:pPr>
        <w:pStyle w:val="Heading2"/>
        <w:spacing w:after="120" w:before="240"/>
      </w:pPr>
      <w:r>
        <w:t xml:space="preserve">3.3 A data-integrity lesson worth noting</w:t>
      </w:r>
    </w:p>
    <w:p>
      <w:pPr>
        <w:spacing w:after="120"/>
      </w:pPr>
      <w:r>
        <w:t xml:space="preserve">During the manual Excel pass, an intermediate version of the IsPepsi/IsKC flag columns became misaligned with the Product column by 1–2 rows in several places — traced to editing (filtering + deleting/pasting) without using 'Select Visible Cells Only', which in Excel can silently apply edits to hidden rows. This was caught by statistically checking whether flagged rows without a real keyword match clustered next to genuine matches (234 of 257 such rows did, confirming misalignment rather than a classification error) and was corrected by recomputing the formula over the full unfiltered range and only converting to static values as the last step, after verification.</w:t>
      </w:r>
    </w:p>
    <w:p>
      <w:pPr>
        <w:pStyle w:val="Heading1"/>
        <w:spacing w:after="160" w:before="320"/>
      </w:pPr>
      <w:r>
        <w:t xml:space="preserve">4. Analyses Delivered</w:t>
      </w:r>
    </w:p>
    <w:p>
      <w:pPr>
        <w:spacing w:after="120"/>
      </w:pPr>
      <w:r>
        <w:t xml:space="preserve">For both Pepsi and Kimberly-Clark products, the following breakdowns were produced (in both the Excel and Python workbooks): by product, by supplier, by hotel/company, by brand, and by month. Additional analyses beyond the core ask: category-wise total spend (all purchase categories, not just Pepsi/KC), supplier concentration (top-supplier share of category spend), and unit-price variance for common products across the 4 hotels.</w:t>
      </w:r>
    </w:p>
    <w:p>
      <w:pPr>
        <w:pStyle w:val="Heading1"/>
        <w:spacing w:after="160" w:before="320"/>
      </w:pPr>
      <w:r>
        <w:t xml:space="preserve">5. Major Observations (verified against underlying data tables)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LMN Company is the top-spending hotel for Pepsi products (₹14.01 Lakh, 35.4% of group Pepsi spend), followed by 123 Company (₹12.22 Lakh, 30.9%) and XYZ Company (₹10.76 Lakh, 27.2%); ABC Company spends far less (₹2.57 Lakh, 6.5%).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Each hotel sources Pepsi from exactly one dedicated distributor with no competitive split: Sri Kalyani Foods (123), SMS Commercial (LMN), Super Enterprises (XYZ), Premier Catering &amp; Marketing (ABC).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Pepsi brand mix: Pepsi (cola) is 58.9% of Pepsi-category spend, 7Up 29.4%, with Lehar Everess Soda, Mirinda and Duke's Soda making up the remaining ~11.7%.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Real inter-property price variance exists on identical Pepsi SKUs: Pepsi Glass Bottle 300ml ranges from ₹15.82/unit (XYZ) to ₹38.45/unit (123 Company) — a 143% variance; Pepsi Can 330ml ranges from ₹13.61 (XYZ) to ₹21.38 (ABC) — a 57% variance.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XYZ Company accounts for 68.2% of all Kimberly-Clark spend across the group (₹35.75 Lakh of ₹52.39 Lakh total) — more than double LMN, the next-highest hotel (23.7%).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KC spend is disproportionate to overall procurement size at XYZ and LMN: KC is 0.88% of XYZ's total procurement spend and 0.47% of LMN's, versus just 0.06–0.08% at 123 and ABC — roughly 10–15x higher proportionally, independent of each hotel's overall spend size.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KC brand mix: Kleenex (facial/bathroom tissue) is 68.5% of KC spend, Scott (towels) 24.1%, Kimsoft 7.1%; Kimtech wipers are negligible (0.3%) — indicating KC purchasing here is driven by guestroom/washroom tissue, not F&amp;B wiping consumables.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'Kimberly Clark Hygiene Pvt Ltd' (the manufacturer itself) is already the single largest KC supplier in the dataset (₹21.02 Lakh, 40.1% of KC spend) — direct-from-manufacturer sourcing is already happening for part of the portfolio; other hotels route through distributors (Rita Enterprise, J.S. Associates, Shree Momai Enterprises).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Pepsi + KC combined are under 0.7% of total 2019 procurement spend (₹91.94 Lakh of ₹133.97 Crore) — the bulk of spend is F&amp;B (meat/fish/produce/groceries); any negotiation or consolidation initiative on these two categories should be scoped and resourced proportionately to that small base.</w:t>
      </w:r>
    </w:p>
    <w:p>
      <w:pPr>
        <w:pStyle w:val="Heading1"/>
        <w:spacing w:after="160" w:before="320"/>
      </w:pPr>
      <w:r>
        <w:t xml:space="preserve">6. Tools and Systems Used</w:t>
      </w:r>
    </w:p>
    <w:p>
      <w:pPr>
        <w:spacing w:after="120"/>
      </w:pPr>
      <w:r>
        <w:t xml:space="preserve">This exercise was performed using Microsoft Excel (Power Query for multi-file merge/standardization, formula-based text matching for classification, PivotTables for aggregation, native charts for visualization) and Python (pandas for data handling, openpyxl for formatted Excel output, matplotlib for charts) — used side by side to cross-verify results and catch classification errors that were hard to spot in either tool alone.</w:t>
      </w:r>
    </w:p>
    <w:p>
      <w:pPr>
        <w:spacing w:after="120"/>
      </w:pPr>
      <w:r>
        <w:t xml:space="preserve">For a production or recurring version of this exercise, the following would each add value: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200"/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would help here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Power BI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Handles higher data volumes without Excel's formula-performance limits; Power Query (M) + DAX makes classification logic auditable and easy to re-run monthly; interactive slicers (by hotel/supplier/month) are better for a live committee presentation than static pivot tables.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SQL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Loading all hotel files into staging tables and writing the classification/aggregation logic as queries is more version-controlled, testable, and auditable than spreadsheet formulas — important once this needs to be repeated regularly or by other analysts.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Smartsheet</w:t>
            </w:r>
          </w:p>
        </w:tc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Useful as a lightweight intake/tracking layer if 400+ hotels are each submitting data on a recurring schedule — less suited to the heavy data transformation itself.</w:t>
            </w:r>
          </w:p>
        </w:tc>
      </w:tr>
    </w:tbl>
    <w:p>
      <w:pPr>
        <w:pStyle w:val="Heading1"/>
        <w:spacing w:after="160" w:before="320"/>
      </w:pPr>
      <w:r>
        <w:t xml:space="preserve">7. Scaling to 400+ Buying Companies / Hotels</w:t>
      </w:r>
    </w:p>
    <w:p>
      <w:pPr>
        <w:spacing w:after="120"/>
      </w:pPr>
      <w:r>
        <w:t xml:space="preserve">A purely manual/Excel, per-file approach does not scale to 400+ hotels — both on data volume (formula-driven Excel becomes slow well before that point) and on classification reliability (more hotels means more spelling variants and description formats, so free-text keyword matching produces more false positives/negatives, as seen even with just 4 hotels here).</w:t>
      </w:r>
    </w:p>
    <w:p>
      <w:pPr>
        <w:spacing w:after="120"/>
      </w:pPr>
      <w:r>
        <w:t xml:space="preserve">Proposed approach at that scale: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Build a master SKU-to-brand mapping table (Product Code → Brand → Category) instead of relying on keyword search in free-text descriptions — this is what the Kimberly-Clark SKU list already provides, and the same should be requested/built for Pepsi and any other tracked brand.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Automate ingestion via a data pipeline (Python/SQL, or a cloud ETL service) that loads each hotel's file into a common staging schema, applies the SKU/brand mapping (falling back to validated fuzzy matching only for unmapped items), and writes to a central database rather than one Excel file per exercise.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Connect Power BI or Tableau directly to that database (live/DirectQuery) for the dashboard layer, so analysis refreshes automatically as new hotels or months of data arrive, instead of manually rebuilding pivot tables each time.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 a validation/exception layer — flag any purchase line that doesn't match the master mapping table for manual review, rather than silently keyword-matching it, so false positives (like 'Scott Bench' or 'Scottish Salmon' seen in this exercise) are caught systematically rather than by manual eyeballing.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Standardize the intake template — give all 400+ hotels one common column format to submit data in, which removes most of the 'different column names per file' cleansing work seen in this 4-hotel exercise.</w:t>
      </w:r>
    </w:p>
    <w:p>
      <w:pPr>
        <w:pStyle w:val="Heading1"/>
        <w:spacing w:after="160" w:before="320"/>
      </w:pPr>
      <w:r>
        <w:t xml:space="preserve">8. Limitations &amp; Caveats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ABC Company's original category field (e.g. BEVERAGE, BUTCHERY, DIRECT) was not carried through to the category-wise spend analysis in the Python version and shows as 'Uncategorized' — this should be re-mapped from the Store/Category field before final submission.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Product classification here relies on brand-name keyword matching rather than a verified SKU-to-brand master list; a small number of edge cases may remain unclassified or misclassified despite the exclusions applied, and results should be read as a strong estimate rather than a guaranteed-exact figure.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Unit price comparisons across hotels assume matching pack sizes/UOM for the same product name; a few products with very high variance percentages may reflect different case/pack sizes rather than true price differences, and would benefit from a UOM-normalization pass before being used to negotiate pricing.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2026-07-20T23:46:12.841Z</dcterms:created>
  <dcterms:modified xsi:type="dcterms:W3CDTF">2026-07-20T23:46:12.870Z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