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Arial" w:hAnsi="Arial"/>
          <w:b/>
          <w:color w:val="1B365D"/>
          <w:sz w:val="52"/>
        </w:rPr>
        <w:t>DeadlineOS</w:t>
        <w:br/>
        <w:t>SYSTEM ARCHITECTURE DOCUMENT</w:t>
      </w:r>
    </w:p>
    <w:p>
      <w:pPr>
        <w:spacing w:after="3600"/>
        <w:jc w:val="center"/>
      </w:pPr>
      <w:r>
        <w:rPr>
          <w:rFonts w:ascii="Arial" w:hAnsi="Arial"/>
          <w:color w:val="4B6B94"/>
          <w:sz w:val="26"/>
        </w:rPr>
        <w:t>An AI-Native Compliance Operating System for Indian SMBs</w:t>
        <w:br/>
        <w:t>Production-Grade Enterprise SaaS Blueprint</w:t>
      </w:r>
    </w:p>
    <w:p>
      <w:pPr>
        <w:spacing w:before="1000"/>
        <w:jc w:val="left"/>
      </w:pPr>
      <w:r>
        <w:rPr>
          <w:color w:val="646E78"/>
          <w:sz w:val="20"/>
        </w:rPr>
        <w:t>Author: Principal Software Architect &amp; AI Systems Specialist</w:t>
        <w:br/>
        <w:t>Version: 1.0.0 (Production Blueprint)</w:t>
        <w:br/>
        <w:t>Target: Architecture Review Board, Investor Due Diligence, Engineering Onboarding</w:t>
        <w:br/>
        <w:t>Date: May 2026</w:t>
      </w:r>
    </w:p>
    <w:p>
      <w:r>
        <w:br w:type="page"/>
      </w:r>
    </w:p>
    <w:p>
      <w:pPr>
        <w:keepNext/>
        <w:spacing w:before="360" w:after="120"/>
      </w:pPr>
      <w:r>
        <w:rPr>
          <w:rFonts w:ascii="Arial" w:hAnsi="Arial"/>
          <w:b/>
          <w:color w:val="1B365D"/>
          <w:sz w:val="32"/>
        </w:rPr>
        <w:t>1. Executive Architecture Overview</w:t>
      </w:r>
    </w:p>
    <w:p>
      <w:pPr>
        <w:keepNext/>
        <w:spacing w:before="280" w:after="80"/>
      </w:pPr>
      <w:r>
        <w:rPr>
          <w:rFonts w:ascii="Arial" w:hAnsi="Arial"/>
          <w:b/>
          <w:color w:val="4B6B94"/>
          <w:sz w:val="26"/>
        </w:rPr>
        <w:t>1.1 System Vision &amp; Objectives</w:t>
      </w:r>
    </w:p>
    <w:p>
      <w:r>
        <w:t>DeadlineOS is a production-ready, enterprise-grade compliance operating system designed specifically to handle the critical complexities of Indian regulatory obligations (GST, TDS, ROC, PF, ESIC). Moving away from traditional, reactive notification apps, DeadlineOS serves as an active, AI-native engine that eliminates compliance failures, automates validation workflows, synchronizes chartered accountant (CA) operations with client operations, and lowers operational penalties.</w:t>
      </w:r>
    </w:p>
    <w:p>
      <w:pPr>
        <w:pStyle w:val="ListBullet"/>
        <w:spacing w:after="60"/>
      </w:pPr>
      <w:r>
        <w:rPr>
          <w:b/>
          <w:color w:val="222222"/>
        </w:rPr>
        <w:t xml:space="preserve">Operational Continuity: </w:t>
      </w:r>
      <w:r>
        <w:rPr>
          <w:color w:val="222222"/>
        </w:rPr>
        <w:t>Zero-Failure Guarantee: The architecture guarantees near 100% notification delivery and task tracking across millions of concurrent dynamic compliance entities.</w:t>
      </w:r>
    </w:p>
    <w:p>
      <w:pPr>
        <w:pStyle w:val="ListBullet"/>
        <w:spacing w:after="60"/>
      </w:pPr>
      <w:r>
        <w:rPr>
          <w:b/>
          <w:color w:val="222222"/>
        </w:rPr>
        <w:t xml:space="preserve">Intelligent Ingestion: </w:t>
      </w:r>
      <w:r>
        <w:rPr>
          <w:color w:val="222222"/>
        </w:rPr>
        <w:t>AI-First Automation: Ingests unstructured government notifications, tax notices, and corporate registries to construct structured compliance pipelines with minimal human intervention.</w:t>
      </w:r>
    </w:p>
    <w:p>
      <w:pPr>
        <w:pStyle w:val="ListBullet"/>
        <w:spacing w:after="60"/>
      </w:pPr>
      <w:r>
        <w:rPr>
          <w:b/>
          <w:color w:val="222222"/>
        </w:rPr>
        <w:t xml:space="preserve">Tenant Isolation: </w:t>
      </w:r>
      <w:r>
        <w:rPr>
          <w:color w:val="222222"/>
        </w:rPr>
        <w:t>Institutional Grade Multi-Tenancy: Strict security insulation layer guaranteeing data isolation across multi-entity corporates and independent accounting firms.</w:t>
      </w:r>
    </w:p>
    <w:p>
      <w:pPr>
        <w:keepNext/>
        <w:spacing w:before="280" w:after="80"/>
      </w:pPr>
      <w:r>
        <w:rPr>
          <w:rFonts w:ascii="Arial" w:hAnsi="Arial"/>
          <w:b/>
          <w:color w:val="4B6B94"/>
          <w:sz w:val="26"/>
        </w:rPr>
        <w:t>1.2 Product Architecture Philosophy</w:t>
      </w:r>
    </w:p>
    <w:p>
      <w:r>
        <w:t>The technical infrastructure follows a Modular Monolith structural paradigm with completely separated domain contexts, preparing the system for a seamless microservices migration as transactional volumes scale. This strategy prevents premature distributed-systems overhead while enforcing rigid separation of concerns at the database and processing levels.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40" w:type="dxa"/>
            </w:tcMar>
            <w:tcBorders>
              <w:top w:val="none"/>
              <w:bottom w:val="none"/>
              <w:left w:val="single" w:sz="24" w:space="0" w:color="1B365D"/>
              <w:right w:val="none"/>
            </w:tcBorders>
          </w:tcPr>
          <w:p>
            <w:pPr>
              <w:spacing w:after="40"/>
            </w:pPr>
            <w:r>
              <w:rPr>
                <w:b/>
                <w:color w:val="1B365D"/>
                <w:sz w:val="19"/>
              </w:rPr>
              <w:t xml:space="preserve">[CORE DESIGN AXIOM] </w:t>
            </w:r>
            <w:r>
              <w:rPr>
                <w:i/>
                <w:color w:val="222222"/>
                <w:sz w:val="19"/>
              </w:rPr>
              <w:t>DeadlineOS is strictly built for asynchronous resiliency. Every critical flow—from dynamic deadline updates to WhatsApp webhook processing—is driven by events and backed by high-throughput messaging structures to withstand tax deadline traffic spikes in India.</w:t>
            </w:r>
          </w:p>
        </w:tc>
      </w:tr>
    </w:tbl>
    <w:p>
      <w:pPr>
        <w:spacing w:after="80" w:before="0"/>
      </w:pPr>
    </w:p>
    <w:p>
      <w:pPr>
        <w:keepNext/>
        <w:spacing w:before="360" w:after="120"/>
      </w:pPr>
      <w:r>
        <w:rPr>
          <w:rFonts w:ascii="Arial" w:hAnsi="Arial"/>
          <w:b/>
          <w:color w:val="1B365D"/>
          <w:sz w:val="32"/>
        </w:rPr>
        <w:t>2. High-Level System Architecture</w:t>
      </w:r>
    </w:p>
    <w:p>
      <w:r>
        <w:t>The overall structure utilizes a multi-layered, API-centric cloud framework. Front-end portals route calls through an API gateway layer to an asynchronous execution core built on FastAPI, utilizing PostgreSQL for persistence and Redis/Celery for transactional and message queueing requirements.</w:t>
      </w:r>
    </w:p>
    <w:p>
      <w:pPr>
        <w:keepNext/>
        <w:spacing w:before="280" w:after="80"/>
      </w:pPr>
      <w:r>
        <w:rPr>
          <w:rFonts w:ascii="Arial" w:hAnsi="Arial"/>
          <w:b/>
          <w:color w:val="4B6B94"/>
          <w:sz w:val="26"/>
        </w:rPr>
        <w:t>2.1 High-Level Architecture Topology Diagram</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w:t>
              <w:br/>
              <w:t>|                       EDGE NETWORK &amp; INGRESS LAYER                            |</w:t>
              <w:br/>
              <w:t>|    [CloudFront CDN] ---&gt; [AWS WAF] ---&gt; [NGINX API Gateway / Rate Limiter]     |</w:t>
              <w:br/>
              <w:t>+-------------------------------------------------------------------------------+</w:t>
              <w:br/>
              <w:t xml:space="preserve">                                         |</w:t>
              <w:br/>
              <w:t xml:space="preserve">                                         v</w:t>
              <w:br/>
              <w:t>+-------------------------------------------------------------------------------+</w:t>
              <w:br/>
              <w:t>|                        APPLICATION LAYER (FastAPI Core)                       |</w:t>
              <w:br/>
              <w:t>|   +-----------------------+  +----------------------+  +------------------+   |</w:t>
              <w:br/>
              <w:t>|   |   Tenant Router       |  | Compliance Engine    |  | Workflows Core   |   |</w:t>
              <w:br/>
              <w:t>|   +-----------------------+  +----------------------+  +------------------+   |</w:t>
              <w:br/>
              <w:t>|   +-----------------------+  +----------------------+  +------------------+   |</w:t>
              <w:br/>
              <w:t>|   | Document Automation   |  | Collaborative Bridge |  | Event Broadcast  |   |</w:t>
              <w:br/>
              <w:t>|   +-----------------------+  +----------------------+  +------------------+   |</w:t>
              <w:br/>
              <w:t>+-------------------------------------------------------------------------------+</w:t>
              <w:br/>
              <w:t xml:space="preserve">        |                                |                           |</w:t>
              <w:br/>
              <w:t xml:space="preserve">        v                                v                           v</w:t>
              <w:br/>
              <w:t>+-------------------+          +--------------------+      +--------------------+</w:t>
              <w:br/>
              <w:t>|  PERSISTENCE CORE |          | ASYNC QUEUE STRUT  |      |   AI ORCHESTRATOR  |</w:t>
              <w:br/>
              <w:t>|  [PostgreSQL]     |          | [Redis Cache]      |      | [LangChain Engine] |</w:t>
              <w:br/>
              <w:t>|  [pgvector Store] |          | [Celery Brokers]   |      | [OpenAI / Claude]  |</w:t>
              <w:br/>
              <w:t>+-------------------+          +--------------------+      +--------------------+</w:t>
            </w:r>
          </w:p>
        </w:tc>
      </w:tr>
    </w:tbl>
    <w:p>
      <w:pPr>
        <w:spacing w:after="120"/>
      </w:pPr>
    </w:p>
    <w:p>
      <w:pPr>
        <w:keepNext/>
        <w:spacing w:before="280" w:after="80"/>
      </w:pPr>
      <w:r>
        <w:rPr>
          <w:rFonts w:ascii="Arial" w:hAnsi="Arial"/>
          <w:b/>
          <w:color w:val="4B6B94"/>
          <w:sz w:val="26"/>
        </w:rPr>
        <w:t>2.2 End-to-End Workflow Overview</w:t>
      </w:r>
    </w:p>
    <w:p>
      <w:r>
        <w:t>The system orchestrates multi-step lifecycle changes asynchronously. The workflow details how data moves from ingest to notification validation:</w:t>
      </w:r>
    </w:p>
    <w:p>
      <w:pPr>
        <w:pStyle w:val="ListBullet"/>
        <w:spacing w:after="60"/>
      </w:pPr>
      <w:r>
        <w:rPr>
          <w:b/>
          <w:color w:val="222222"/>
        </w:rPr>
        <w:t xml:space="preserve">1. Data Ingestion: </w:t>
      </w:r>
      <w:r>
        <w:rPr>
          <w:color w:val="222222"/>
        </w:rPr>
        <w:t>The Client or CA uploads an unparsed financial ledger, a government tax portal screenshot, or an official notice to the secure Amazon S3 ingestion bucket.</w:t>
      </w:r>
    </w:p>
    <w:p>
      <w:pPr>
        <w:pStyle w:val="ListBullet"/>
        <w:spacing w:after="60"/>
      </w:pPr>
      <w:r>
        <w:rPr>
          <w:b/>
          <w:color w:val="222222"/>
        </w:rPr>
        <w:t xml:space="preserve">2. Event Triggers: </w:t>
      </w:r>
      <w:r>
        <w:rPr>
          <w:color w:val="222222"/>
        </w:rPr>
        <w:t>An S3 Event Notification triggers an event, sending a payload to the Celery Task Queue.</w:t>
      </w:r>
    </w:p>
    <w:p>
      <w:pPr>
        <w:pStyle w:val="ListBullet"/>
        <w:spacing w:after="60"/>
      </w:pPr>
      <w:r>
        <w:rPr>
          <w:b/>
          <w:color w:val="222222"/>
        </w:rPr>
        <w:t xml:space="preserve">3. Parsing &amp; Extraction: </w:t>
      </w:r>
      <w:r>
        <w:rPr>
          <w:color w:val="222222"/>
        </w:rPr>
        <w:t>The AI Obligation Mapping Engine extracts the tenant ID, contextual tax variables, statutory deadlines, and exact monetary liabilities from the document.</w:t>
      </w:r>
    </w:p>
    <w:p>
      <w:pPr>
        <w:pStyle w:val="ListBullet"/>
        <w:spacing w:after="60"/>
      </w:pPr>
      <w:r>
        <w:rPr>
          <w:b/>
          <w:color w:val="222222"/>
        </w:rPr>
        <w:t xml:space="preserve">4. State Tracking: </w:t>
      </w:r>
      <w:r>
        <w:rPr>
          <w:color w:val="222222"/>
        </w:rPr>
        <w:t>The Compliance Deadline Engine updates the multi-tenant PostgreSQL instance with the newly verified deadline schedule.</w:t>
      </w:r>
    </w:p>
    <w:p>
      <w:pPr>
        <w:pStyle w:val="ListBullet"/>
        <w:spacing w:after="60"/>
      </w:pPr>
      <w:r>
        <w:rPr>
          <w:b/>
          <w:color w:val="222222"/>
        </w:rPr>
        <w:t xml:space="preserve">5. Distribution: </w:t>
      </w:r>
      <w:r>
        <w:rPr>
          <w:color w:val="222222"/>
        </w:rPr>
        <w:t>The Notification Orchestrator places an event payload onto the Redis-backed message bus to trigger instant WhatsApp/Email alerts via integrated external APIs.</w:t>
      </w:r>
    </w:p>
    <w:p>
      <w:pPr>
        <w:keepNext/>
        <w:spacing w:before="360" w:after="120"/>
      </w:pPr>
      <w:r>
        <w:rPr>
          <w:rFonts w:ascii="Arial" w:hAnsi="Arial"/>
          <w:b/>
          <w:color w:val="1B365D"/>
          <w:sz w:val="32"/>
        </w:rPr>
        <w:t>3. Multi-Tenant SaaS Architecture</w:t>
      </w:r>
    </w:p>
    <w:p>
      <w:r>
        <w:t>DeadlineOS relies on a Pooled Database Model using Separate Schemas for tenant isolation. This design balances horizontal database scalability with strict data boundaries, ensuring enterprise clients and accounting firms never risk cross-tenant data leaks.</w:t>
      </w:r>
    </w:p>
    <w:p>
      <w:pPr>
        <w:keepNext/>
        <w:spacing w:before="280" w:after="80"/>
      </w:pPr>
      <w:r>
        <w:rPr>
          <w:rFonts w:ascii="Arial" w:hAnsi="Arial"/>
          <w:b/>
          <w:color w:val="4B6B94"/>
          <w:sz w:val="26"/>
        </w:rPr>
        <w:t>3.1 Core Multi-Tenancy Design Parameters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160"/>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Multi-Tenancy Model</w:t>
            </w:r>
          </w:p>
        </w:tc>
        <w:tc>
          <w:tcPr>
            <w:tcW w:type="dxa" w:w="1728"/>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Isolation Mechanism</w:t>
            </w:r>
          </w:p>
        </w:tc>
        <w:tc>
          <w:tcPr>
            <w:tcW w:type="dxa" w:w="1440"/>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Scaling Target</w:t>
            </w:r>
          </w:p>
        </w:tc>
        <w:tc>
          <w:tcPr>
            <w:tcW w:type="dxa" w:w="2160"/>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Pros</w:t>
            </w:r>
          </w:p>
        </w:tc>
        <w:tc>
          <w:tcPr>
            <w:tcW w:type="dxa" w:w="187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Cons</w:t>
            </w:r>
          </w:p>
        </w:tc>
      </w:tr>
      <w:tr>
        <w:tc>
          <w:tcPr>
            <w:tcW w:type="dxa" w:w="216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Logical Scheme Isolation</w:t>
            </w:r>
          </w:p>
        </w:tc>
        <w:tc>
          <w:tcPr>
            <w:tcW w:type="dxa" w:w="1728"/>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PostgreSQL Schemas per Tenant</w:t>
            </w:r>
          </w:p>
        </w:tc>
        <w:tc>
          <w:tcPr>
            <w:tcW w:type="dxa" w:w="144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10,000+ Active Tenants</w:t>
            </w:r>
          </w:p>
        </w:tc>
        <w:tc>
          <w:tcPr>
            <w:tcW w:type="dxa" w:w="216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Strict security, schema-level backups, easy migrations</w:t>
            </w:r>
          </w:p>
        </w:tc>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Connection pool overhead per schema</w:t>
            </w:r>
          </w:p>
        </w:tc>
      </w:tr>
      <w:tr>
        <w:tc>
          <w:tcPr>
            <w:tcW w:type="dxa" w:w="2160"/>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Cross-Tenant Protection</w:t>
            </w:r>
          </w:p>
        </w:tc>
        <w:tc>
          <w:tcPr>
            <w:tcW w:type="dxa" w:w="1728"/>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Middleware Tenant Context Interception</w:t>
            </w:r>
          </w:p>
        </w:tc>
        <w:tc>
          <w:tcPr>
            <w:tcW w:type="dxa" w:w="1440"/>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Zero cross-leak compliance</w:t>
            </w:r>
          </w:p>
        </w:tc>
        <w:tc>
          <w:tcPr>
            <w:tcW w:type="dxa" w:w="2160"/>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Automated injection at query layer, fail-safe</w:t>
            </w:r>
          </w:p>
        </w:tc>
        <w:tc>
          <w:tcPr>
            <w:tcW w:type="dxa" w:w="187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Requires rigid ORM hooks</w:t>
            </w:r>
          </w:p>
        </w:tc>
      </w:tr>
      <w:tr>
        <w:tc>
          <w:tcPr>
            <w:tcW w:type="dxa" w:w="216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Entity Hierarchies</w:t>
            </w:r>
          </w:p>
        </w:tc>
        <w:tc>
          <w:tcPr>
            <w:tcW w:type="dxa" w:w="1728"/>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Parent-Child Foreign Key Structures</w:t>
            </w:r>
          </w:p>
        </w:tc>
        <w:tc>
          <w:tcPr>
            <w:tcW w:type="dxa" w:w="144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Unlimited Entity Multi-tiering</w:t>
            </w:r>
          </w:p>
        </w:tc>
        <w:tc>
          <w:tcPr>
            <w:tcW w:type="dxa" w:w="216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Enables CA firms to manage 500+ corporate clients</w:t>
            </w:r>
          </w:p>
        </w:tc>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Adds joins to reporting queries</w:t>
            </w:r>
          </w:p>
        </w:tc>
      </w:tr>
    </w:tbl>
    <w:p>
      <w:pPr>
        <w:spacing w:after="80"/>
      </w:pPr>
    </w:p>
    <w:p>
      <w:pPr>
        <w:keepNext/>
        <w:spacing w:before="280" w:after="80"/>
      </w:pPr>
      <w:r>
        <w:rPr>
          <w:rFonts w:ascii="Arial" w:hAnsi="Arial"/>
          <w:b/>
          <w:color w:val="4B6B94"/>
          <w:sz w:val="26"/>
        </w:rPr>
        <w:t>3.2 Authentication &amp; Authorization Architecture</w:t>
      </w:r>
    </w:p>
    <w:p>
      <w:r>
        <w:t>Authentication uses stateless, cryptographically signed JSON Web Tokens (JWT) via an RS256 algorithm (Private/Public Key Pair). System permissions are managed through hierarchical Role-Based Access Control (RBAC) mapping directly to user session contexts.</w:t>
      </w:r>
    </w:p>
    <w:p>
      <w:pPr>
        <w:pStyle w:val="ListBullet"/>
        <w:spacing w:after="60"/>
      </w:pPr>
      <w:r>
        <w:rPr>
          <w:b/>
          <w:color w:val="222222"/>
        </w:rPr>
        <w:t xml:space="preserve">GlobalAdmin: </w:t>
      </w:r>
      <w:r>
        <w:rPr>
          <w:color w:val="222222"/>
        </w:rPr>
        <w:t>System Administrator: Full visibility across system operations, orchestration logs, and global configuration values.</w:t>
      </w:r>
    </w:p>
    <w:p>
      <w:pPr>
        <w:pStyle w:val="ListBullet"/>
        <w:spacing w:after="60"/>
      </w:pPr>
      <w:r>
        <w:rPr>
          <w:b/>
          <w:color w:val="222222"/>
        </w:rPr>
        <w:t xml:space="preserve">CA_Partner: </w:t>
      </w:r>
      <w:r>
        <w:rPr>
          <w:color w:val="222222"/>
        </w:rPr>
        <w:t>Chartered Accountant or Managing Auditor who owns the workspace and can oversee all connected corporate legal entities.</w:t>
      </w:r>
    </w:p>
    <w:p>
      <w:pPr>
        <w:pStyle w:val="ListBullet"/>
        <w:spacing w:after="60"/>
      </w:pPr>
      <w:r>
        <w:rPr>
          <w:b/>
          <w:color w:val="222222"/>
        </w:rPr>
        <w:t xml:space="preserve">CA_Staff: </w:t>
      </w:r>
      <w:r>
        <w:rPr>
          <w:color w:val="222222"/>
        </w:rPr>
        <w:t>Junior Auditor or operational team member inside the accounting firm who processes filings for assigned client accounts.</w:t>
      </w:r>
    </w:p>
    <w:p>
      <w:pPr>
        <w:pStyle w:val="ListBullet"/>
        <w:spacing w:after="60"/>
      </w:pPr>
      <w:r>
        <w:rPr>
          <w:b/>
          <w:color w:val="222222"/>
        </w:rPr>
        <w:t xml:space="preserve">Client_Admin: </w:t>
      </w:r>
      <w:r>
        <w:rPr>
          <w:color w:val="222222"/>
        </w:rPr>
        <w:t>The corporate client contact who uploads documents, reviews financial logs, and views executive compliance status dashboards.</w:t>
      </w:r>
    </w:p>
    <w:p>
      <w:pPr>
        <w:keepNext/>
        <w:spacing w:before="360" w:after="120"/>
      </w:pPr>
      <w:r>
        <w:rPr>
          <w:rFonts w:ascii="Arial" w:hAnsi="Arial"/>
          <w:b/>
          <w:color w:val="1B365D"/>
          <w:sz w:val="32"/>
        </w:rPr>
        <w:t>4. Frontend &amp; Backend Architecture</w:t>
      </w:r>
    </w:p>
    <w:p>
      <w:pPr>
        <w:keepNext/>
        <w:spacing w:before="280" w:after="80"/>
      </w:pPr>
      <w:r>
        <w:rPr>
          <w:rFonts w:ascii="Arial" w:hAnsi="Arial"/>
          <w:b/>
          <w:color w:val="4B6B94"/>
          <w:sz w:val="26"/>
        </w:rPr>
        <w:t>4.1 Frontend Architecture</w:t>
      </w:r>
    </w:p>
    <w:p>
      <w:r>
        <w:t>The user interface layer is built with Next.js 14 using the App Router design pattern, structured as a Single Page Application (SPA) inside server-rendered environments to provide responsive client dashboards.</w:t>
      </w:r>
    </w:p>
    <w:p>
      <w:pPr>
        <w:pStyle w:val="ListBullet"/>
        <w:spacing w:after="60"/>
      </w:pPr>
      <w:r>
        <w:rPr>
          <w:b/>
          <w:color w:val="222222"/>
        </w:rPr>
        <w:t xml:space="preserve">Optimized Routing: </w:t>
      </w:r>
      <w:r>
        <w:rPr>
          <w:color w:val="222222"/>
        </w:rPr>
        <w:t>Leverages Edge Middleware to read cookie-based authentication state and handle client routing redirects instantly at the network edge.</w:t>
      </w:r>
    </w:p>
    <w:p>
      <w:pPr>
        <w:pStyle w:val="ListBullet"/>
        <w:spacing w:after="60"/>
      </w:pPr>
      <w:r>
        <w:rPr>
          <w:b/>
          <w:color w:val="222222"/>
        </w:rPr>
        <w:t xml:space="preserve">State Management: </w:t>
      </w:r>
      <w:r>
        <w:rPr>
          <w:color w:val="222222"/>
        </w:rPr>
        <w:t>Utilizes React Server Components (RSC) to handle heavy reporting and dashboard summaries, eliminating client-side layout shifts and drastically improving page speeds.</w:t>
      </w:r>
    </w:p>
    <w:p>
      <w:pPr>
        <w:pStyle w:val="ListBullet"/>
        <w:spacing w:after="60"/>
      </w:pPr>
      <w:r>
        <w:rPr>
          <w:b/>
          <w:color w:val="222222"/>
        </w:rPr>
        <w:t xml:space="preserve">UI Foundations: </w:t>
      </w:r>
      <w:r>
        <w:rPr>
          <w:color w:val="222222"/>
        </w:rPr>
        <w:t>Implements a clean modular component strategy using TailwindCSS and shadcn/ui to build atomic, reusable data visualizations.</w:t>
      </w:r>
    </w:p>
    <w:p>
      <w:pPr>
        <w:keepNext/>
        <w:spacing w:before="280" w:after="80"/>
      </w:pPr>
      <w:r>
        <w:rPr>
          <w:rFonts w:ascii="Arial" w:hAnsi="Arial"/>
          <w:b/>
          <w:color w:val="4B6B94"/>
          <w:sz w:val="26"/>
        </w:rPr>
        <w:t>4.2 Backend Architecture</w:t>
      </w:r>
    </w:p>
    <w:p>
      <w:r>
        <w:t>The core backend API engine uses FastAPI, providing native asynchronous performance via Python's ASGI specification. The architecture relies on an explicit clean-room layering strategy:</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w:t>
              <w:br/>
              <w:t>|                    FASTAPI CORE MONOLITHIC LAYERING                     |</w:t>
              <w:br/>
              <w:t>+-------------------------------------------------------------------------+</w:t>
              <w:br/>
              <w:t>| 1. ROUTING LAYER     :: Receives HTTP Requests, enforces Auth &amp; Limiting|</w:t>
              <w:br/>
              <w:t>| 2. MIDDLEWARE LAYER  :: Injects Database Tenant context &amp; correlation ID |</w:t>
              <w:br/>
              <w:t>| 3. SERVICE LAYER     :: Executes business validation and application flow |</w:t>
              <w:br/>
              <w:t>| 4. REPOSITORY LAYER  :: Explicit SQL compilation via SQLAlchemy Core   |</w:t>
              <w:br/>
              <w:t>+-------------------------------------------------------------------------+</w:t>
            </w:r>
          </w:p>
        </w:tc>
      </w:tr>
    </w:tbl>
    <w:p>
      <w:pPr>
        <w:spacing w:after="120"/>
      </w:pPr>
    </w:p>
    <w:p>
      <w:pPr>
        <w:keepNext/>
        <w:spacing w:before="280" w:after="80"/>
      </w:pPr>
      <w:r>
        <w:rPr>
          <w:rFonts w:ascii="Arial" w:hAnsi="Arial"/>
          <w:b/>
          <w:color w:val="4B6B94"/>
          <w:sz w:val="26"/>
        </w:rPr>
        <w:t>4.3 API Gateway Architecture</w:t>
      </w:r>
    </w:p>
    <w:p>
      <w:r>
        <w:t>NGINX Plus functions as our primary API Ingress Gateway, managing incoming transport configurations, routing rules, SSL/TLS terminations, and upstream failovers.</w:t>
      </w:r>
    </w:p>
    <w:p>
      <w:pPr>
        <w:pStyle w:val="ListBullet"/>
        <w:spacing w:after="60"/>
      </w:pPr>
      <w:r>
        <w:rPr>
          <w:b/>
          <w:color w:val="222222"/>
        </w:rPr>
        <w:t xml:space="preserve">Rate Limiting: </w:t>
      </w:r>
      <w:r>
        <w:rPr>
          <w:color w:val="222222"/>
        </w:rPr>
        <w:t>Protects backend application workers against Denial-of-Service attempts by enforcing a sliding-window algorithm for client API keys (60 requests/min max per client IP).</w:t>
      </w:r>
    </w:p>
    <w:p>
      <w:pPr>
        <w:pStyle w:val="ListBullet"/>
        <w:spacing w:after="60"/>
      </w:pPr>
      <w:r>
        <w:rPr>
          <w:b/>
          <w:color w:val="222222"/>
        </w:rPr>
        <w:t xml:space="preserve">Traceability: </w:t>
      </w:r>
      <w:r>
        <w:rPr>
          <w:color w:val="222222"/>
        </w:rPr>
        <w:t>Injects tracking attributes (`X-Correlation-ID`) into every request header to ensure complete trace visibility across all backend microservices and logging stores.</w:t>
      </w:r>
    </w:p>
    <w:p>
      <w:pPr>
        <w:keepNext/>
        <w:spacing w:before="360" w:after="120"/>
      </w:pPr>
      <w:r>
        <w:rPr>
          <w:rFonts w:ascii="Arial" w:hAnsi="Arial"/>
          <w:b/>
          <w:color w:val="1B365D"/>
          <w:sz w:val="32"/>
        </w:rPr>
        <w:t>5. Database Architecture</w:t>
      </w:r>
    </w:p>
    <w:p>
      <w:pPr>
        <w:keepNext/>
        <w:spacing w:before="280" w:after="80"/>
      </w:pPr>
      <w:r>
        <w:rPr>
          <w:rFonts w:ascii="Arial" w:hAnsi="Arial"/>
          <w:b/>
          <w:color w:val="4B6B94"/>
          <w:sz w:val="26"/>
        </w:rPr>
        <w:t>5.1 PostgreSQL Schema Strategy</w:t>
      </w:r>
    </w:p>
    <w:p>
      <w:r>
        <w:t>The data engine uses a production-tuned PostgreSQL 16 cluster. To support AI semantic searches alongside financial transactions, we enable the `pgvector` extension natively within the operational persistence layer.</w:t>
      </w:r>
    </w:p>
    <w:p>
      <w:pPr>
        <w:keepNext/>
        <w:spacing w:before="200" w:after="40"/>
      </w:pPr>
      <w:r>
        <w:rPr>
          <w:rFonts w:ascii="Arial" w:hAnsi="Arial"/>
          <w:b/>
          <w:i/>
          <w:color w:val="222222"/>
          <w:sz w:val="22"/>
        </w:rPr>
        <w:t>Core Database Relational Layout Structure</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          +--------------------------+</w:t>
              <w:br/>
              <w:t>| tenants                  |          | legal_entities           |</w:t>
              <w:br/>
              <w:t>+--------------------------+          +--------------------------+</w:t>
              <w:br/>
              <w:t>| id: UUID PRIMARY KEY     |          | id: UUID PRIMARY KEY     |</w:t>
              <w:br/>
              <w:t>| company_name: VARCHAR    | &lt;------  | tenant_id: UUID FK       |</w:t>
              <w:br/>
              <w:t>| schema_name: VARCHAR     |          | legal_name: VARCHAR      |</w:t>
              <w:br/>
              <w:t>| status: tenant_status    |          | pan_number: VARCHAR(10)  |</w:t>
              <w:br/>
              <w:t>+--------------------------+          +--------------------------+</w:t>
              <w:br/>
              <w:t xml:space="preserve">                                                    |</w:t>
              <w:br/>
              <w:t xml:space="preserve">                                                    v</w:t>
              <w:br/>
              <w:t>+--------------------------+          +--------------------------+</w:t>
              <w:br/>
              <w:t>| notifications_log        |          | compliance_obligations   |</w:t>
              <w:br/>
              <w:t>+--------------------------+          +--------------------------+</w:t>
              <w:br/>
              <w:t>| id: UUID PRIMARY KEY     |          | id: UUID PRIMARY KEY     |</w:t>
              <w:br/>
              <w:t>| tenant_id: UUID FK       | &lt;------  | entity_id: UUID FK       |</w:t>
              <w:br/>
              <w:t>| recipient: VARCHAR       |          | obligation_type: VARCHAR |</w:t>
              <w:br/>
              <w:t>| status: delivery_status  |          | statutory_date: TIMESTAMPTZ|</w:t>
              <w:br/>
              <w:t>+--------------------------+          +--------------------------+</w:t>
            </w:r>
          </w:p>
        </w:tc>
      </w:tr>
    </w:tbl>
    <w:p>
      <w:pPr>
        <w:spacing w:after="120"/>
      </w:pPr>
    </w:p>
    <w:p>
      <w:pPr>
        <w:keepNext/>
        <w:spacing w:before="280" w:after="80"/>
      </w:pPr>
      <w:r>
        <w:rPr>
          <w:rFonts w:ascii="Arial" w:hAnsi="Arial"/>
          <w:b/>
          <w:color w:val="4B6B94"/>
          <w:sz w:val="26"/>
        </w:rPr>
        <w:t>5.2 Redis Caching &amp; Queue Architecture</w:t>
      </w:r>
    </w:p>
    <w:p>
      <w:r>
        <w:t>Redis serves a dual purpose as an ultra-low-latency data cache and an asynchronous message broker for Celery workers. The caching layer uses a cache-aside pattern with a strict 3600-second maximum lifespan (TTL) to keep data fresh and consistent.</w:t>
      </w:r>
    </w:p>
    <w:p>
      <w:pPr>
        <w:pStyle w:val="ListBullet"/>
        <w:spacing w:after="60"/>
      </w:pPr>
      <w:r>
        <w:rPr>
          <w:b/>
          <w:color w:val="222222"/>
        </w:rPr>
        <w:t xml:space="preserve">Transient Storage: </w:t>
      </w:r>
      <w:r>
        <w:rPr>
          <w:color w:val="222222"/>
        </w:rPr>
        <w:t>Handles transient API authorization payloads, tenant schema connection mappings, and immediate user dashboard metrics.</w:t>
      </w:r>
    </w:p>
    <w:p>
      <w:pPr>
        <w:pStyle w:val="ListBullet"/>
        <w:spacing w:after="60"/>
      </w:pPr>
      <w:r>
        <w:rPr>
          <w:b/>
          <w:color w:val="222222"/>
        </w:rPr>
        <w:t xml:space="preserve">Key Naming: </w:t>
      </w:r>
      <w:r>
        <w:rPr>
          <w:color w:val="222222"/>
        </w:rPr>
        <w:t>Maintains operational data serialization protocols using clear string keys structured as: `tenant:{tenant_id}:entity:{entity_id}:metrics`.</w:t>
      </w:r>
    </w:p>
    <w:p>
      <w:pPr>
        <w:keepNext/>
        <w:spacing w:before="360" w:after="120"/>
      </w:pPr>
      <w:r>
        <w:rPr>
          <w:rFonts w:ascii="Arial" w:hAnsi="Arial"/>
          <w:b/>
          <w:color w:val="1B365D"/>
          <w:sz w:val="32"/>
        </w:rPr>
        <w:t>6.6 AI System Architecture</w:t>
      </w:r>
    </w:p>
    <w:p>
      <w:pPr>
        <w:keepNext/>
        <w:spacing w:before="280" w:after="80"/>
      </w:pPr>
      <w:r>
        <w:rPr>
          <w:rFonts w:ascii="Arial" w:hAnsi="Arial"/>
          <w:b/>
          <w:color w:val="4B6B94"/>
          <w:sz w:val="26"/>
        </w:rPr>
        <w:t>6.1 AI Obligation Mapping Engine</w:t>
      </w:r>
    </w:p>
    <w:p>
      <w:r>
        <w:t>The core AI processing capabilities rely on structured LLM orchestration routines built using LangChain. When documents enter the system, they follow an advanced validation pipeline to accurately map compliance obligations:</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w:t>
              <w:br/>
              <w:t>|                      AI OBLIGATION MAPPING PIPELINE                           |</w:t>
              <w:br/>
              <w:t>+-------------------------------------------------------------------------------+</w:t>
              <w:br/>
              <w:t>| [Document Input] -&gt; [AWS Textract OCR] -&gt; [Text Sanitization Block]           |</w:t>
              <w:br/>
              <w:t>|                                                     |                         |</w:t>
              <w:br/>
              <w:t>|                                                     v                         |</w:t>
              <w:br/>
              <w:t>| [Pydantic JSON Validation] &lt;---- [Instructor LLM Parse (Claude-3.5-Sonnet)]   |</w:t>
              <w:br/>
              <w:t>|            |                                                                  |</w:t>
              <w:br/>
              <w:t>|            v (Schema Pass?)                                                   |</w:t>
              <w:br/>
              <w:t>|      +-----+-----+                                                            |</w:t>
              <w:br/>
              <w:t>|      |           |                                                            |</w:t>
              <w:br/>
              <w:t>|  (Yes) v       (No) v                                                         |</w:t>
              <w:br/>
              <w:t>| [Write DB]    [Dead Letter human audit queue]                                 |</w:t>
              <w:br/>
              <w:t>+-------------------------------------------------------------------------------+</w:t>
            </w:r>
          </w:p>
        </w:tc>
      </w:tr>
    </w:tbl>
    <w:p>
      <w:pPr>
        <w:spacing w:after="120"/>
      </w:pPr>
    </w:p>
    <w:p>
      <w:pPr>
        <w:keepNext/>
        <w:spacing w:before="280" w:after="80"/>
      </w:pPr>
      <w:r>
        <w:rPr>
          <w:rFonts w:ascii="Arial" w:hAnsi="Arial"/>
          <w:b/>
          <w:color w:val="4B6B94"/>
          <w:sz w:val="26"/>
        </w:rPr>
        <w:t>6.2 Retrieval-Augmented Generation (RAG) Architecture</w:t>
      </w:r>
    </w:p>
    <w:p>
      <w:r>
        <w:t>To protect against LLM hallucinations regarding shifting Indian tax laws, the platform uses a Retrieval-Augmented Generation (RAG) loop against a curated regulatory knowledge base.</w:t>
      </w:r>
    </w:p>
    <w:p>
      <w:pPr>
        <w:pStyle w:val="ListBullet"/>
        <w:spacing w:after="60"/>
      </w:pPr>
      <w:r>
        <w:rPr>
          <w:b/>
          <w:color w:val="222222"/>
        </w:rPr>
        <w:t xml:space="preserve">Regulatory Intelligence: </w:t>
      </w:r>
      <w:r>
        <w:rPr>
          <w:color w:val="222222"/>
        </w:rPr>
        <w:t>Monitors official regulatory updates from government portals (CBIC, Income Tax Department, MCA).</w:t>
      </w:r>
    </w:p>
    <w:p>
      <w:pPr>
        <w:pStyle w:val="ListBullet"/>
        <w:spacing w:after="60"/>
      </w:pPr>
      <w:r>
        <w:rPr>
          <w:b/>
          <w:color w:val="222222"/>
        </w:rPr>
        <w:t xml:space="preserve">Chunking &amp; Embedding: </w:t>
      </w:r>
      <w:r>
        <w:rPr>
          <w:color w:val="222222"/>
        </w:rPr>
        <w:t>Raw legal PDFs are broken into 512-token chunks with a 64-token overlap, then processed through the `text-embedding-3-small` model.</w:t>
      </w:r>
    </w:p>
    <w:p>
      <w:pPr>
        <w:pStyle w:val="ListBullet"/>
        <w:spacing w:after="60"/>
      </w:pPr>
      <w:r>
        <w:rPr>
          <w:b/>
          <w:color w:val="222222"/>
        </w:rPr>
        <w:t xml:space="preserve">Vector Indexing: </w:t>
      </w:r>
      <w:r>
        <w:rPr>
          <w:color w:val="222222"/>
        </w:rPr>
        <w:t>Embeddings are written to a dedicated `pgvector` index inside the database to enable efficient semantic querying.</w:t>
      </w:r>
    </w:p>
    <w:p>
      <w:pPr>
        <w:pStyle w:val="ListBullet"/>
        <w:spacing w:after="60"/>
      </w:pPr>
      <w:r>
        <w:rPr>
          <w:b/>
          <w:color w:val="222222"/>
        </w:rPr>
        <w:t xml:space="preserve">Query Logic: </w:t>
      </w:r>
      <w:r>
        <w:rPr>
          <w:color w:val="222222"/>
        </w:rPr>
        <w:t>Queries extract top matches using Cosine Distance calculations (`&lt;=&gt;`), appending retrieved contexts into LLM prompts to ensure accurate responses.</w:t>
      </w:r>
    </w:p>
    <w:p>
      <w:pPr>
        <w:keepNext/>
        <w:spacing w:before="360" w:after="120"/>
      </w:pPr>
      <w:r>
        <w:rPr>
          <w:rFonts w:ascii="Arial" w:hAnsi="Arial"/>
          <w:b/>
          <w:color w:val="1B365D"/>
          <w:sz w:val="32"/>
        </w:rPr>
        <w:t>7. Notification Orchestration System</w:t>
      </w:r>
    </w:p>
    <w:p>
      <w:r>
        <w:t>The system relies on a reliable Notification Orchestrator designed to meet the communication preferences of Indian SMB owners, using WhatsApp as the primary high-priority alerting channel alongside backup email streams.</w:t>
      </w:r>
    </w:p>
    <w:p>
      <w:pPr>
        <w:keepNext/>
        <w:spacing w:before="280" w:after="80"/>
      </w:pPr>
      <w:r>
        <w:rPr>
          <w:rFonts w:ascii="Arial" w:hAnsi="Arial"/>
          <w:b/>
          <w:color w:val="4B6B94"/>
          <w:sz w:val="26"/>
        </w:rPr>
        <w:t>7.1 WhatsApp &amp; Email Notification Architecture</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w:t>
              <w:br/>
              <w:t>|                   NOTIFICATION ENGINE FAULT-TOLERANT LOOP                     |</w:t>
              <w:br/>
              <w:t>+-------------------------------------------------------------------------------+</w:t>
              <w:br/>
              <w:t>| [Compliance Engine Event] ---&gt; [Notification Orchestration Router]            |</w:t>
              <w:br/>
              <w:t>|                                          |                                    |</w:t>
              <w:br/>
              <w:t>|                     +--------------------+--------------------+               |</w:t>
              <w:br/>
              <w:t>|                     v                                         v               |</w:t>
              <w:br/>
              <w:t>|         [WhatsApp Router Channel]                   [Email Router Channel]    |</w:t>
              <w:br/>
              <w:t>|         - Provider: Meta Business API               - Provider: Amazon SES    |</w:t>
              <w:br/>
              <w:t>|         - Queue: high-priority-whatsapp             - Queue: low-priority     |</w:t>
              <w:br/>
              <w:t>|                     |                                         |               |</w:t>
              <w:br/>
              <w:t>|                     +--------------------+--------------------+               |</w:t>
              <w:br/>
              <w:t>|                                          v                                    |</w:t>
              <w:br/>
              <w:t>|                         [Outbound Dispatch Verification]                      |</w:t>
              <w:br/>
              <w:t>|                                          |                                    |</w:t>
              <w:br/>
              <w:t>|       +----------------------------------+----------------------------------+ |</w:t>
              <w:br/>
              <w:t>|       v (Success Webhook)                               v (Failure / Retry) | |</w:t>
              <w:br/>
              <w:t>| [Update Delivery Status Log]              [Exponential Backoff 3x Retry Loop] | |</w:t>
              <w:br/>
              <w:t>+-------------------------------------------------------------------------------+</w:t>
            </w:r>
          </w:p>
        </w:tc>
      </w:tr>
    </w:tbl>
    <w:p>
      <w:pPr>
        <w:spacing w:after="120"/>
      </w:pPr>
    </w:p>
    <w:p>
      <w:pPr>
        <w:keepNext/>
        <w:spacing w:before="280" w:after="80"/>
      </w:pPr>
      <w:r>
        <w:rPr>
          <w:rFonts w:ascii="Arial" w:hAnsi="Arial"/>
          <w:b/>
          <w:color w:val="4B6B94"/>
          <w:sz w:val="26"/>
        </w:rPr>
        <w:t>7.2 Real-Time Processing Mechanics</w:t>
      </w:r>
    </w:p>
    <w:p>
      <w:r>
        <w:t>Every alert transaction is assigned a lifetime status tracking record in the primary datastore, following a clear state machine from `PENDING` to `DISPATCHED`, `DELIVERED`, and `READ`.</w:t>
      </w:r>
    </w:p>
    <w:p>
      <w:pPr>
        <w:pStyle w:val="ListBullet"/>
        <w:spacing w:after="60"/>
      </w:pPr>
      <w:r>
        <w:rPr>
          <w:b/>
          <w:color w:val="222222"/>
        </w:rPr>
        <w:t xml:space="preserve">WhatsApp Template Management: </w:t>
      </w:r>
      <w:r>
        <w:rPr>
          <w:color w:val="222222"/>
        </w:rPr>
        <w:t>To stay compliant with Meta's messaging policies, the platform isolates notification layouts inside pre-approved transactional templates (`compliance_deadline_alert`).</w:t>
      </w:r>
    </w:p>
    <w:p>
      <w:pPr>
        <w:pStyle w:val="ListBullet"/>
        <w:spacing w:after="60"/>
      </w:pPr>
      <w:r>
        <w:rPr>
          <w:b/>
          <w:color w:val="222222"/>
        </w:rPr>
        <w:t xml:space="preserve">Fallback Controls: </w:t>
      </w:r>
      <w:r>
        <w:rPr>
          <w:color w:val="222222"/>
        </w:rPr>
        <w:t>Provides fallback safeguards; if a critical WhatsApp delivery fails or runs into carrier delivery delays, the orchestrator triggers an alternate email delivery stream via Amazon SES within 300 seconds.</w:t>
      </w:r>
    </w:p>
    <w:p>
      <w:pPr>
        <w:keepNext/>
        <w:spacing w:before="360" w:after="120"/>
      </w:pPr>
      <w:r>
        <w:rPr>
          <w:rFonts w:ascii="Arial" w:hAnsi="Arial"/>
          <w:b/>
          <w:color w:val="1B365D"/>
          <w:sz w:val="32"/>
        </w:rPr>
        <w:t>8. Core Platform Engine Logic</w:t>
      </w:r>
    </w:p>
    <w:p>
      <w:pPr>
        <w:keepNext/>
        <w:spacing w:before="280" w:after="80"/>
      </w:pPr>
      <w:r>
        <w:rPr>
          <w:rFonts w:ascii="Arial" w:hAnsi="Arial"/>
          <w:b/>
          <w:color w:val="4B6B94"/>
          <w:sz w:val="26"/>
        </w:rPr>
        <w:t>8.1 Compliance Deadline Engine</w:t>
      </w:r>
    </w:p>
    <w:p>
      <w:r>
        <w:t>Deadlines are calculated dynamically based on tenant operating parameters, financial transaction variables, and legal requirements. The calculation framework handles complex adjustments like weekend holidays and extended grace periods: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40" w:type="dxa"/>
            </w:tcMar>
            <w:tcBorders>
              <w:top w:val="none"/>
              <w:bottom w:val="none"/>
              <w:left w:val="single" w:sz="24" w:space="0" w:color="1B365D"/>
              <w:right w:val="none"/>
            </w:tcBorders>
          </w:tcPr>
          <w:p>
            <w:pPr>
              <w:spacing w:after="40"/>
            </w:pPr>
            <w:r>
              <w:rPr>
                <w:b/>
                <w:color w:val="1B365D"/>
                <w:sz w:val="19"/>
              </w:rPr>
              <w:t xml:space="preserve">[COMPLIANCE LOGIC EQUATION] </w:t>
            </w:r>
            <w:r>
              <w:rPr>
                <w:i/>
                <w:color w:val="222222"/>
                <w:sz w:val="19"/>
              </w:rPr>
              <w:t>Dynamic Date Calculation Pseudocode Formula:</w:t>
              <w:br/>
              <w:t>Final_Filing_Deadline = Max(Statutory_Due_Date, Extension_Declaration_Date) - Operational_Buffer_Days</w:t>
              <w:br/>
              <w:t>If Final_Filing_Deadline matches National_Holiday THEN Final_Filing_Deadline = Previous_Working_Day</w:t>
            </w:r>
          </w:p>
        </w:tc>
      </w:tr>
    </w:tbl>
    <w:p>
      <w:pPr>
        <w:spacing w:after="80" w:before="0"/>
      </w:pPr>
    </w:p>
    <w:p>
      <w:pPr>
        <w:keepNext/>
        <w:spacing w:before="280" w:after="80"/>
      </w:pPr>
      <w:r>
        <w:rPr>
          <w:rFonts w:ascii="Arial" w:hAnsi="Arial"/>
          <w:b/>
          <w:color w:val="4B6B94"/>
          <w:sz w:val="26"/>
        </w:rPr>
        <w:t>8.2 Filing Workflow &amp; Document Management Pipeline</w:t>
      </w:r>
    </w:p>
    <w:p>
      <w:r>
        <w:t>The filing tracking system monitors audit workflows from preparation to final completion. Moving artifacts through this pipeline triggers automated validation steps:</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w:t>
              <w:br/>
              <w:t>|                       DOCUMENT VERIFICATION AND PIPELINE                      |</w:t>
              <w:br/>
              <w:t>+-------------------------------------------------------------------------------+</w:t>
              <w:br/>
              <w:t>| [Document Input] -&gt; [S3 Upload with Metadata Tags]                            |</w:t>
              <w:br/>
              <w:t>|                            |                                                  |</w:t>
              <w:br/>
              <w:t>|                            v                                                  |</w:t>
              <w:br/>
              <w:t>|              [Virus Scan &amp; Format Sanity Check]                               |</w:t>
              <w:br/>
              <w:t>|                            |                                                  |</w:t>
              <w:br/>
              <w:t>|                            v                                                  |</w:t>
              <w:br/>
              <w:t>|              [AI Document Match Validation]                                   |</w:t>
              <w:br/>
              <w:t>|     - Verifies PAN matches Legal Entity Profile Context                       |</w:t>
              <w:br/>
              <w:t>|     - Confirms Financial Year corresponds to active filing window            |</w:t>
              <w:br/>
              <w:t>|                            |                                                  |</w:t>
              <w:br/>
              <w:t>|              +-------------+-------------+                                    |</w:t>
              <w:br/>
              <w:t>|              v (Pass)                    v (Fail: Flag Anomalies)             |</w:t>
              <w:br/>
              <w:t>|       [State: READY_FOR_FILING]      [State: DISCREPANCY_FLAGGED]             |</w:t>
              <w:br/>
              <w:t>+-------------------------------------------------------------------------------+</w:t>
            </w:r>
          </w:p>
        </w:tc>
      </w:tr>
    </w:tbl>
    <w:p>
      <w:pPr>
        <w:spacing w:after="120"/>
      </w:pPr>
    </w:p>
    <w:p>
      <w:pPr>
        <w:keepNext/>
        <w:spacing w:before="280" w:after="80"/>
      </w:pPr>
      <w:r>
        <w:rPr>
          <w:rFonts w:ascii="Arial" w:hAnsi="Arial"/>
          <w:b/>
          <w:color w:val="4B6B94"/>
          <w:sz w:val="26"/>
        </w:rPr>
        <w:t>8.3 CA Collaboration &amp; Multi-Entity Management</w:t>
      </w:r>
    </w:p>
    <w:p>
      <w:r>
        <w:t>The dashboard framework uses an optimized workspace architecture designed for accounting teams. Users can view multiple legal entities under a single enterprise tenant, allowing partners to track real-time filing progress across their entire client list.</w:t>
      </w:r>
    </w:p>
    <w:p>
      <w:pPr>
        <w:keepNext/>
        <w:spacing w:before="360" w:after="120"/>
      </w:pPr>
      <w:r>
        <w:rPr>
          <w:rFonts w:ascii="Arial" w:hAnsi="Arial"/>
          <w:b/>
          <w:color w:val="1B365D"/>
          <w:sz w:val="32"/>
        </w:rPr>
        <w:t>9. Event-Driven &amp; Background Job Processing</w:t>
      </w:r>
    </w:p>
    <w:p>
      <w:r>
        <w:t>To protect user-facing web services from processing delays, heavy automation and computation workloads are handled asynchronously by background workers.</w:t>
      </w:r>
    </w:p>
    <w:p>
      <w:pPr>
        <w:keepNext/>
        <w:spacing w:before="280" w:after="80"/>
      </w:pPr>
      <w:r>
        <w:rPr>
          <w:rFonts w:ascii="Arial" w:hAnsi="Arial"/>
          <w:b/>
          <w:color w:val="4B6B94"/>
          <w:sz w:val="26"/>
        </w:rPr>
        <w:t>9.1 Celery Queue Architecture Topography</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016"/>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Queue Name</w:t>
            </w:r>
          </w:p>
        </w:tc>
        <w:tc>
          <w:tcPr>
            <w:tcW w:type="dxa" w:w="187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Concurrency Model</w:t>
            </w:r>
          </w:p>
        </w:tc>
        <w:tc>
          <w:tcPr>
            <w:tcW w:type="dxa" w:w="1440"/>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Broker Technology</w:t>
            </w:r>
          </w:p>
        </w:tc>
        <w:tc>
          <w:tcPr>
            <w:tcW w:type="dxa" w:w="259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Primary Purpose</w:t>
            </w:r>
          </w:p>
        </w:tc>
        <w:tc>
          <w:tcPr>
            <w:tcW w:type="dxa" w:w="1440"/>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SLA Target</w:t>
            </w:r>
          </w:p>
        </w:tc>
      </w:tr>
      <w:tr>
        <w:tc>
          <w:tcPr>
            <w:tcW w:type="dxa" w:w="2016"/>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high-priority-whatsapp</w:t>
            </w:r>
          </w:p>
        </w:tc>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Eventlet (100 threads/worker)</w:t>
            </w:r>
          </w:p>
        </w:tc>
        <w:tc>
          <w:tcPr>
            <w:tcW w:type="dxa" w:w="144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Redis Cluster</w:t>
            </w:r>
          </w:p>
        </w:tc>
        <w:tc>
          <w:tcPr>
            <w:tcW w:type="dxa" w:w="259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Instant delivery of critical threshold alerts</w:t>
            </w:r>
          </w:p>
        </w:tc>
        <w:tc>
          <w:tcPr>
            <w:tcW w:type="dxa" w:w="144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&lt; 2 seconds</w:t>
            </w:r>
          </w:p>
        </w:tc>
      </w:tr>
      <w:tr>
        <w:tc>
          <w:tcPr>
            <w:tcW w:type="dxa" w:w="2016"/>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ai-obligation-mapping</w:t>
            </w:r>
          </w:p>
        </w:tc>
        <w:tc>
          <w:tcPr>
            <w:tcW w:type="dxa" w:w="187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Prefetch=1 (1 process/worker)</w:t>
            </w:r>
          </w:p>
        </w:tc>
        <w:tc>
          <w:tcPr>
            <w:tcW w:type="dxa" w:w="1440"/>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Redis Cluster</w:t>
            </w:r>
          </w:p>
        </w:tc>
        <w:tc>
          <w:tcPr>
            <w:tcW w:type="dxa" w:w="259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Heavy processing of LLM data extractions</w:t>
            </w:r>
          </w:p>
        </w:tc>
        <w:tc>
          <w:tcPr>
            <w:tcW w:type="dxa" w:w="1440"/>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&lt; 30 seconds</w:t>
            </w:r>
          </w:p>
        </w:tc>
      </w:tr>
      <w:tr>
        <w:tc>
          <w:tcPr>
            <w:tcW w:type="dxa" w:w="2016"/>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statutory-deadline-eval</w:t>
            </w:r>
          </w:p>
        </w:tc>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Solo Worker (Process isolated)</w:t>
            </w:r>
          </w:p>
        </w:tc>
        <w:tc>
          <w:tcPr>
            <w:tcW w:type="dxa" w:w="144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Redis Cluster</w:t>
            </w:r>
          </w:p>
        </w:tc>
        <w:tc>
          <w:tcPr>
            <w:tcW w:type="dxa" w:w="259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Nightly batch evaluations of regulatory dates</w:t>
            </w:r>
          </w:p>
        </w:tc>
        <w:tc>
          <w:tcPr>
            <w:tcW w:type="dxa" w:w="1440"/>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&lt; 5 minutes</w:t>
            </w:r>
          </w:p>
        </w:tc>
      </w:tr>
      <w:tr>
        <w:tc>
          <w:tcPr>
            <w:tcW w:type="dxa" w:w="2016"/>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default-system-tasks</w:t>
            </w:r>
          </w:p>
        </w:tc>
        <w:tc>
          <w:tcPr>
            <w:tcW w:type="dxa" w:w="187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Prefork (CPU Bound Multi-process)</w:t>
            </w:r>
          </w:p>
        </w:tc>
        <w:tc>
          <w:tcPr>
            <w:tcW w:type="dxa" w:w="1440"/>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Redis Cluster</w:t>
            </w:r>
          </w:p>
        </w:tc>
        <w:tc>
          <w:tcPr>
            <w:tcW w:type="dxa" w:w="259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General application tasks and log cleanups</w:t>
            </w:r>
          </w:p>
        </w:tc>
        <w:tc>
          <w:tcPr>
            <w:tcW w:type="dxa" w:w="1440"/>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Best effort</w:t>
            </w:r>
          </w:p>
        </w:tc>
      </w:tr>
    </w:tbl>
    <w:p>
      <w:pPr>
        <w:spacing w:after="80"/>
      </w:pPr>
    </w:p>
    <w:p>
      <w:pPr>
        <w:keepNext/>
        <w:spacing w:before="280" w:after="80"/>
      </w:pPr>
      <w:r>
        <w:rPr>
          <w:rFonts w:ascii="Arial" w:hAnsi="Arial"/>
          <w:b/>
          <w:color w:val="4B6B94"/>
          <w:sz w:val="26"/>
        </w:rPr>
        <w:t>9.2 Event-Driven Architecture Flow Chart</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      +---------------------+      +-------------------+</w:t>
              <w:br/>
              <w:t>|  [Filing Uploaded]    | ---&gt; | [Redis Message Bus] | ---&gt; | [Celery Worker Pool]</w:t>
              <w:br/>
              <w:t>+-----------------------+      +---------------------+      +-------------------+</w:t>
              <w:br/>
              <w:t xml:space="preserve">                                                                      |</w:t>
              <w:br/>
              <w:t xml:space="preserve">                                                                      v</w:t>
              <w:br/>
              <w:t xml:space="preserve">                                                            [Run Extraction Loop]</w:t>
              <w:br/>
              <w:t xml:space="preserve">                                                                      |</w:t>
              <w:br/>
              <w:t xml:space="preserve">                                                                      v</w:t>
              <w:br/>
              <w:t>+-----------------------+      +---------------------+      +-------------------+</w:t>
              <w:br/>
              <w:t>| [Frontend Push Notify] &lt;--- | [WebSocket Router]  | &lt;--- | [PostgreSQL Write]|</w:t>
              <w:br/>
              <w:t>+-----------------------+      +---------------------+      +-------------------+</w:t>
            </w:r>
          </w:p>
        </w:tc>
      </w:tr>
    </w:tbl>
    <w:p>
      <w:pPr>
        <w:spacing w:after="120"/>
      </w:pPr>
    </w:p>
    <w:p>
      <w:pPr>
        <w:keepNext/>
        <w:spacing w:before="360" w:after="120"/>
      </w:pPr>
      <w:r>
        <w:rPr>
          <w:rFonts w:ascii="Arial" w:hAnsi="Arial"/>
          <w:b/>
          <w:color w:val="1B365D"/>
          <w:sz w:val="32"/>
        </w:rPr>
        <w:t>10. Cloud Infrastructure &amp; CI/CD Architecture</w:t>
      </w:r>
    </w:p>
    <w:p>
      <w:pPr>
        <w:keepNext/>
        <w:spacing w:before="280" w:after="80"/>
      </w:pPr>
      <w:r>
        <w:rPr>
          <w:rFonts w:ascii="Arial" w:hAnsi="Arial"/>
          <w:b/>
          <w:color w:val="4B6B94"/>
          <w:sz w:val="26"/>
        </w:rPr>
        <w:t>10.1 Cloud Infrastructure Topology</w:t>
      </w:r>
    </w:p>
    <w:p>
      <w:r>
        <w:t>The system runs on AWS using an isolated Virtual Private Cloud (VPC) topology spanning two Availability Zones (AZs) to prevent single-point-of-failure issues.</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w:t>
              <w:br/>
              <w:t>|                       AWS VPC REGION (Dual AZ Deploy)                         |</w:t>
              <w:br/>
              <w:t>+-------------------------------------------------------------------------------+</w:t>
              <w:br/>
              <w:t>|  PUBLIC SUBNETS (AZ-A &amp; AZ-B)                                                 |</w:t>
              <w:br/>
              <w:t>|  [Application Load Balancer (ALB)] ---&gt; terminates HTTPS, routes upstream     |</w:t>
              <w:br/>
              <w:t>+-------------------------------------------------------------------------------+</w:t>
              <w:br/>
              <w:t>|  PRIVATE SUBNETS (AZ-A &amp; AZ-B)                                                |</w:t>
              <w:br/>
              <w:t>|  [ECS Fargate Cluster] ---&gt; Runs Containerized FastAPI Web app tasks          |</w:t>
              <w:br/>
              <w:t>|  [ECS Background Tasks] ---&gt; Runs Celery Worker instances                    |</w:t>
              <w:br/>
              <w:t>+-------------------------------------------------------------------------------+</w:t>
              <w:br/>
              <w:t>|  ISOLATED DATA SUBNETS (AZ-A &amp; AZ-B)                                          |</w:t>
              <w:br/>
              <w:t>|  [Amazon RDS PostgreSQL Multi-AZ] &lt;---&gt; [Amazon ElastiCache for Redis]        |</w:t>
              <w:br/>
              <w:t>+-------------------------------------------------------------------------------+</w:t>
            </w:r>
          </w:p>
        </w:tc>
      </w:tr>
    </w:tbl>
    <w:p>
      <w:pPr>
        <w:spacing w:after="120"/>
      </w:pPr>
    </w:p>
    <w:p>
      <w:pPr>
        <w:keepNext/>
        <w:spacing w:before="280" w:after="80"/>
      </w:pPr>
      <w:r>
        <w:rPr>
          <w:rFonts w:ascii="Arial" w:hAnsi="Arial"/>
          <w:b/>
          <w:color w:val="4B6B94"/>
          <w:sz w:val="26"/>
        </w:rPr>
        <w:t>10.2 Deployment &amp; CI/CD Pipeline Architecture</w:t>
      </w:r>
    </w:p>
    <w:p>
      <w:r>
        <w:t>Code deployment flows automatically through GitHub Actions workflows, executing regression suites and building Docker production layers before deploying infrastructure updates.</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[Git Commit Code] ---&gt; [GitHub Actions Runner] ---&gt; [Run Flake8 &amp; PyTest Engine]</w:t>
              <w:br/>
              <w:t xml:space="preserve">                                                           |</w:t>
              <w:br/>
              <w:t xml:space="preserve">                                                           v</w:t>
              <w:br/>
              <w:t>[ECS Fargate Service Deploy] &lt;--- [AWS ECR Container Reg] &lt;--- [Build Production Docker]</w:t>
            </w:r>
          </w:p>
        </w:tc>
      </w:tr>
    </w:tbl>
    <w:p>
      <w:pPr>
        <w:spacing w:after="120"/>
      </w:pPr>
    </w:p>
    <w:p>
      <w:pPr>
        <w:keepNext/>
        <w:spacing w:before="360" w:after="120"/>
      </w:pPr>
      <w:r>
        <w:rPr>
          <w:rFonts w:ascii="Arial" w:hAnsi="Arial"/>
          <w:b/>
          <w:color w:val="1B365D"/>
          <w:sz w:val="32"/>
        </w:rPr>
        <w:t>11. Observability, Monitoring &amp; Logging</w:t>
      </w:r>
    </w:p>
    <w:p>
      <w:r>
        <w:t>System monitoring uses a structured open-telemetry framework to ensure full operational visibility and track platform performance metrics.</w:t>
      </w:r>
    </w:p>
    <w:p>
      <w:pPr>
        <w:pStyle w:val="ListBullet"/>
        <w:spacing w:after="60"/>
      </w:pPr>
      <w:r>
        <w:rPr>
          <w:b/>
          <w:color w:val="222222"/>
        </w:rPr>
        <w:t xml:space="preserve">Grafana Loki: </w:t>
      </w:r>
      <w:r>
        <w:rPr>
          <w:color w:val="222222"/>
        </w:rPr>
        <w:t>Provides centralized logging by capturing application events formatted as JSON structures directly from container stdout lines.</w:t>
      </w:r>
    </w:p>
    <w:p>
      <w:pPr>
        <w:pStyle w:val="ListBullet"/>
        <w:spacing w:after="60"/>
      </w:pPr>
      <w:r>
        <w:rPr>
          <w:b/>
          <w:color w:val="222222"/>
        </w:rPr>
        <w:t xml:space="preserve">Prometheus: </w:t>
      </w:r>
      <w:r>
        <w:rPr>
          <w:color w:val="222222"/>
        </w:rPr>
        <w:t>Tracks infrastructure and runtime performance metrics, monitoring CPU utilization, memory consumption, and connection counts.</w:t>
      </w:r>
    </w:p>
    <w:p>
      <w:pPr>
        <w:pStyle w:val="ListBullet"/>
        <w:spacing w:after="60"/>
      </w:pPr>
      <w:r>
        <w:rPr>
          <w:b/>
          <w:color w:val="222222"/>
        </w:rPr>
        <w:t xml:space="preserve">OpenTelemetry APM: </w:t>
      </w:r>
      <w:r>
        <w:rPr>
          <w:color w:val="222222"/>
        </w:rPr>
        <w:t>Monitors system telemetry to track API endpoints, database execution times, and open-telemetry spans for external calls.</w:t>
      </w: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bottom w:w="140" w:type="dxa"/>
              <w:left w:w="200" w:type="dxa"/>
              <w:right w:w="140" w:type="dxa"/>
            </w:tcMar>
            <w:tcBorders>
              <w:top w:val="none"/>
              <w:bottom w:val="none"/>
              <w:left w:val="single" w:sz="24" w:space="0" w:color="1B365D"/>
              <w:right w:val="none"/>
            </w:tcBorders>
          </w:tcPr>
          <w:p>
            <w:pPr>
              <w:spacing w:after="40"/>
            </w:pPr>
            <w:r>
              <w:rPr>
                <w:b/>
                <w:color w:val="1B365D"/>
                <w:sz w:val="19"/>
              </w:rPr>
              <w:t xml:space="preserve">[SECURITY PURGE COMPLIANCE] </w:t>
            </w:r>
            <w:r>
              <w:rPr>
                <w:i/>
                <w:color w:val="222222"/>
                <w:sz w:val="19"/>
              </w:rPr>
              <w:t>All logging production engines are strictly configured to filter out sensitive identifiers (such as user passwords, corporate PAN values, and financial secrets) before writing logs to long-term storage.</w:t>
            </w:r>
          </w:p>
        </w:tc>
      </w:tr>
    </w:tbl>
    <w:p>
      <w:pPr>
        <w:spacing w:after="80" w:before="0"/>
      </w:pPr>
    </w:p>
    <w:p>
      <w:pPr>
        <w:keepNext/>
        <w:spacing w:before="360" w:after="120"/>
      </w:pPr>
      <w:r>
        <w:rPr>
          <w:rFonts w:ascii="Arial" w:hAnsi="Arial"/>
          <w:b/>
          <w:color w:val="1B365D"/>
          <w:sz w:val="32"/>
        </w:rPr>
        <w:t>12. Security &amp; Compliance Data Protection</w:t>
      </w:r>
    </w:p>
    <w:p>
      <w:pPr>
        <w:keepNext/>
        <w:spacing w:before="280" w:after="80"/>
      </w:pPr>
      <w:r>
        <w:rPr>
          <w:rFonts w:ascii="Arial" w:hAnsi="Arial"/>
          <w:b/>
          <w:color w:val="4B6B94"/>
          <w:sz w:val="26"/>
        </w:rPr>
        <w:t>12.1 Encryption Strategy</w:t>
      </w:r>
    </w:p>
    <w:p>
      <w:r>
        <w:t>Data protection mechanisms enforce encryption standards across all infrastructure layers:</w:t>
      </w:r>
    </w:p>
    <w:p>
      <w:pPr>
        <w:pStyle w:val="ListBullet"/>
        <w:spacing w:after="60"/>
      </w:pPr>
      <w:r>
        <w:rPr>
          <w:b/>
          <w:color w:val="222222"/>
        </w:rPr>
        <w:t xml:space="preserve">Data-in-Transit: </w:t>
      </w:r>
      <w:r>
        <w:rPr>
          <w:color w:val="222222"/>
        </w:rPr>
        <w:t>All data moving across the network is protected using TLS 1.3 encryption, ensuring secure transit between clients and the platform.</w:t>
      </w:r>
    </w:p>
    <w:p>
      <w:pPr>
        <w:pStyle w:val="ListBullet"/>
        <w:spacing w:after="60"/>
      </w:pPr>
      <w:r>
        <w:rPr>
          <w:b/>
          <w:color w:val="222222"/>
        </w:rPr>
        <w:t xml:space="preserve">Data-at-Rest: </w:t>
      </w:r>
      <w:r>
        <w:rPr>
          <w:color w:val="222222"/>
        </w:rPr>
        <w:t>Persistent volumes use hardware-accelerated AES-256 encryption keys managed through AWS KMS integration.</w:t>
      </w:r>
    </w:p>
    <w:p>
      <w:pPr>
        <w:keepNext/>
        <w:spacing w:before="280" w:after="80"/>
      </w:pPr>
      <w:r>
        <w:rPr>
          <w:rFonts w:ascii="Arial" w:hAnsi="Arial"/>
          <w:b/>
          <w:color w:val="4B6B94"/>
          <w:sz w:val="26"/>
        </w:rPr>
        <w:t>12.2 Secrets Management &amp; API Controls</w:t>
      </w:r>
    </w:p>
    <w:p>
      <w:r>
        <w:t>Application credentials, database access passwords, and external Meta API access tokens are injected into runtime containers at launch using AWS Secrets Manager, keeping configuration values out of git repositories.</w:t>
      </w:r>
    </w:p>
    <w:p>
      <w:pPr>
        <w:keepNext/>
        <w:spacing w:before="360" w:after="120"/>
      </w:pPr>
      <w:r>
        <w:rPr>
          <w:rFonts w:ascii="Arial" w:hAnsi="Arial"/>
          <w:b/>
          <w:color w:val="1B365D"/>
          <w:sz w:val="32"/>
        </w:rPr>
        <w:t>13. Scalability, Resiliency &amp; Performance</w:t>
      </w:r>
    </w:p>
    <w:p>
      <w:pPr>
        <w:keepNext/>
        <w:spacing w:before="280" w:after="80"/>
      </w:pPr>
      <w:r>
        <w:rPr>
          <w:rFonts w:ascii="Arial" w:hAnsi="Arial"/>
          <w:b/>
          <w:color w:val="4B6B94"/>
          <w:sz w:val="26"/>
        </w:rPr>
        <w:t>13.1 High Availability &amp; Disaster Recovery</w:t>
      </w:r>
    </w:p>
    <w:p>
      <w:r>
        <w:t>The platform targets an RPO (Recovery Point Objective) of 5 minutes and an RTO (Recovery Time Objective) of less than 15 minutes by leveraging automated failover patterns:</w:t>
      </w:r>
    </w:p>
    <w:p>
      <w:pPr>
        <w:pStyle w:val="ListBullet"/>
        <w:spacing w:after="60"/>
      </w:pPr>
      <w:r>
        <w:rPr>
          <w:b/>
          <w:color w:val="222222"/>
        </w:rPr>
        <w:t xml:space="preserve">Database Resiliency: </w:t>
      </w:r>
      <w:r>
        <w:rPr>
          <w:color w:val="222222"/>
        </w:rPr>
        <w:t>Maintains a live, multi-AZ replica database configuration that handles automated failover transitions within 60 seconds if the primary database instance drops.</w:t>
      </w:r>
    </w:p>
    <w:p>
      <w:pPr>
        <w:pStyle w:val="ListBullet"/>
        <w:spacing w:after="60"/>
      </w:pPr>
      <w:r>
        <w:rPr>
          <w:b/>
          <w:color w:val="222222"/>
        </w:rPr>
        <w:t xml:space="preserve">Backup Policies: </w:t>
      </w:r>
      <w:r>
        <w:rPr>
          <w:color w:val="222222"/>
        </w:rPr>
        <w:t>Takes automated snapshot backups every hour, storing encrypted backup objects across multiple geographical regions via Amazon S3 bucket replication.</w:t>
      </w:r>
    </w:p>
    <w:p>
      <w:pPr>
        <w:keepNext/>
        <w:spacing w:before="280" w:after="80"/>
      </w:pPr>
      <w:r>
        <w:rPr>
          <w:rFonts w:ascii="Arial" w:hAnsi="Arial"/>
          <w:b/>
          <w:color w:val="4B6B94"/>
          <w:sz w:val="26"/>
        </w:rPr>
        <w:t>13.2 Cost &amp; Performance Optimization Roadmap</w:t>
      </w:r>
    </w:p>
    <w:p>
      <w:r>
        <w:t>To scale efficiently through tax season traffic peaks without over-allocating baseline resources, the platform uses a structured infrastructure scaling roadmap:</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Horizon</w:t>
            </w:r>
          </w:p>
        </w:tc>
        <w:tc>
          <w:tcPr>
            <w:tcW w:type="dxa" w:w="187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Target Scale</w:t>
            </w:r>
          </w:p>
        </w:tc>
        <w:tc>
          <w:tcPr>
            <w:tcW w:type="dxa" w:w="259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Architectural Focus Area</w:t>
            </w:r>
          </w:p>
        </w:tc>
        <w:tc>
          <w:tcPr>
            <w:tcW w:type="dxa" w:w="3024"/>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Optimization Strategy</w:t>
            </w:r>
          </w:p>
        </w:tc>
      </w:tr>
      <w:tr>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Phase 1 (Current)</w:t>
            </w:r>
          </w:p>
        </w:tc>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0 - 2,000 Tenants</w:t>
            </w:r>
          </w:p>
        </w:tc>
        <w:tc>
          <w:tcPr>
            <w:tcW w:type="dxa" w:w="259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Modular Monolith Stabilization</w:t>
            </w:r>
          </w:p>
        </w:tc>
        <w:tc>
          <w:tcPr>
            <w:tcW w:type="dxa" w:w="3024"/>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Optimize database indexing, implement Redis caching loops</w:t>
            </w:r>
          </w:p>
        </w:tc>
      </w:tr>
      <w:tr>
        <w:tc>
          <w:tcPr>
            <w:tcW w:type="dxa" w:w="187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Phase 2 (12 Months)</w:t>
            </w:r>
          </w:p>
        </w:tc>
        <w:tc>
          <w:tcPr>
            <w:tcW w:type="dxa" w:w="187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2,000 - 10,000 Tenants</w:t>
            </w:r>
          </w:p>
        </w:tc>
        <w:tc>
          <w:tcPr>
            <w:tcW w:type="dxa" w:w="259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Asynchronous Extraction Steps</w:t>
            </w:r>
          </w:p>
        </w:tc>
        <w:tc>
          <w:tcPr>
            <w:tcW w:type="dxa" w:w="3024"/>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Extract WhatsApp alerting and AI parsing services into distinct microservices</w:t>
            </w:r>
          </w:p>
        </w:tc>
      </w:tr>
      <w:tr>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Phase 3 (24 Months)</w:t>
            </w:r>
          </w:p>
        </w:tc>
        <w:tc>
          <w:tcPr>
            <w:tcW w:type="dxa" w:w="187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10,000+ Tenants</w:t>
            </w:r>
          </w:p>
        </w:tc>
        <w:tc>
          <w:tcPr>
            <w:tcW w:type="dxa" w:w="259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Global Scale Data Sharding</w:t>
            </w:r>
          </w:p>
        </w:tc>
        <w:tc>
          <w:tcPr>
            <w:tcW w:type="dxa" w:w="3024"/>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Shard multi-tenant databases across multiple PostgreSQL cluster nodes</w:t>
            </w:r>
          </w:p>
        </w:tc>
      </w:tr>
    </w:tbl>
    <w:p>
      <w:pPr>
        <w:spacing w:after="80"/>
      </w:pPr>
    </w:p>
    <w:p>
      <w:pPr>
        <w:keepNext/>
        <w:spacing w:before="360" w:after="120"/>
      </w:pPr>
      <w:r>
        <w:rPr>
          <w:rFonts w:ascii="Arial" w:hAnsi="Arial"/>
          <w:b/>
          <w:color w:val="1B365D"/>
          <w:sz w:val="32"/>
        </w:rPr>
        <w:t>14. Technical Risks &amp; Engineering Recommendations</w:t>
      </w:r>
    </w:p>
    <w:p>
      <w:pPr>
        <w:keepNext/>
        <w:spacing w:before="280" w:after="80"/>
      </w:pPr>
      <w:r>
        <w:rPr>
          <w:rFonts w:ascii="Arial" w:hAnsi="Arial"/>
          <w:b/>
          <w:color w:val="4B6B94"/>
          <w:sz w:val="26"/>
        </w:rPr>
        <w:t>14.1 Key Risk Matrices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04"/>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Identified Technical Risk</w:t>
            </w:r>
          </w:p>
        </w:tc>
        <w:tc>
          <w:tcPr>
            <w:tcW w:type="dxa" w:w="115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Severity</w:t>
            </w:r>
          </w:p>
        </w:tc>
        <w:tc>
          <w:tcPr>
            <w:tcW w:type="dxa" w:w="115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Likelihood</w:t>
            </w:r>
          </w:p>
        </w:tc>
        <w:tc>
          <w:tcPr>
            <w:tcW w:type="dxa" w:w="4752"/>
            <w:shd w:fill="1B365D"/>
            <w:tcMar>
              <w:top w:w="100" w:type="dxa"/>
              <w:bottom w:w="100" w:type="dxa"/>
              <w:left w:w="120" w:type="dxa"/>
              <w:right w:w="120" w:type="dxa"/>
            </w:tcMar>
            <w:tcBorders>
              <w:top w:val="none"/>
              <w:bottom w:val="single" w:sz="4" w:space="0" w:color="D1D5DB"/>
              <w:left w:val="none"/>
              <w:right w:val="single" w:sz="4" w:space="0" w:color="D1D5DB"/>
            </w:tcBorders>
          </w:tcPr>
          <w:p>
            <w:pPr>
              <w:spacing w:after="0"/>
              <w:jc w:val="left"/>
            </w:pPr>
            <w:r>
              <w:rPr>
                <w:b/>
                <w:color w:val="FFFFFF"/>
                <w:sz w:val="19"/>
              </w:rPr>
              <w:t>Architectural Mitigation Strategy</w:t>
            </w:r>
          </w:p>
        </w:tc>
      </w:tr>
      <w:tr>
        <w:tc>
          <w:tcPr>
            <w:tcW w:type="dxa" w:w="2304"/>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Government Portals API Downtime</w:t>
            </w:r>
          </w:p>
        </w:tc>
        <w:tc>
          <w:tcPr>
            <w:tcW w:type="dxa" w:w="115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High</w:t>
            </w:r>
          </w:p>
        </w:tc>
        <w:tc>
          <w:tcPr>
            <w:tcW w:type="dxa" w:w="115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High</w:t>
            </w:r>
          </w:p>
        </w:tc>
        <w:tc>
          <w:tcPr>
            <w:tcW w:type="dxa" w:w="475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Implement circuit breaker patterns and use a dead-letter queue to retry failed ingestion tasks.</w:t>
            </w:r>
          </w:p>
        </w:tc>
      </w:tr>
      <w:tr>
        <w:tc>
          <w:tcPr>
            <w:tcW w:type="dxa" w:w="2304"/>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LLM Ingestion Hallucinations</w:t>
            </w:r>
          </w:p>
        </w:tc>
        <w:tc>
          <w:tcPr>
            <w:tcW w:type="dxa" w:w="115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Critical</w:t>
            </w:r>
          </w:p>
        </w:tc>
        <w:tc>
          <w:tcPr>
            <w:tcW w:type="dxa" w:w="115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Medium</w:t>
            </w:r>
          </w:p>
        </w:tc>
        <w:tc>
          <w:tcPr>
            <w:tcW w:type="dxa" w:w="4752"/>
            <w:shd w:fill="F4F6F9"/>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Enforce strict Pydantic parsing schemas alongside RAG context matching loops to validate extracted information.</w:t>
            </w:r>
          </w:p>
        </w:tc>
      </w:tr>
      <w:tr>
        <w:tc>
          <w:tcPr>
            <w:tcW w:type="dxa" w:w="2304"/>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Cross-Tenant Data Leakage</w:t>
            </w:r>
          </w:p>
        </w:tc>
        <w:tc>
          <w:tcPr>
            <w:tcW w:type="dxa" w:w="115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Critical</w:t>
            </w:r>
          </w:p>
        </w:tc>
        <w:tc>
          <w:tcPr>
            <w:tcW w:type="dxa" w:w="115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Low</w:t>
            </w:r>
          </w:p>
        </w:tc>
        <w:tc>
          <w:tcPr>
            <w:tcW w:type="dxa" w:w="4752"/>
            <w:shd w:fill="FFFFFF"/>
            <w:tcMar>
              <w:top w:w="80" w:type="dxa"/>
              <w:bottom w:w="80" w:type="dxa"/>
              <w:left w:w="120" w:type="dxa"/>
              <w:right w:w="120" w:type="dxa"/>
            </w:tcMar>
            <w:tcBorders>
              <w:top w:val="none"/>
              <w:bottom w:val="single" w:sz="4" w:space="0" w:color="D1D5DB"/>
              <w:left w:val="single" w:sz="4" w:space="0" w:color="D1D5DB"/>
              <w:right w:val="single" w:sz="4" w:space="0" w:color="D1D5DB"/>
            </w:tcBorders>
          </w:tcPr>
          <w:p>
            <w:pPr>
              <w:spacing w:after="0"/>
            </w:pPr>
            <w:r>
              <w:rPr>
                <w:color w:val="222222"/>
                <w:sz w:val="18"/>
              </w:rPr>
              <w:t>Use connection-pooling middleware that enforces tenant schema isolation context at the database layer.</w:t>
            </w:r>
          </w:p>
        </w:tc>
      </w:tr>
    </w:tbl>
    <w:p>
      <w:pPr>
        <w:spacing w:after="80"/>
      </w:pPr>
    </w:p>
    <w:p>
      <w:pPr>
        <w:keepNext/>
        <w:spacing w:before="280" w:after="80"/>
      </w:pPr>
      <w:r>
        <w:rPr>
          <w:rFonts w:ascii="Arial" w:hAnsi="Arial"/>
          <w:b/>
          <w:color w:val="4B6B94"/>
          <w:sz w:val="26"/>
        </w:rPr>
        <w:t>14.2 Future Architecture Evolution</w:t>
      </w:r>
    </w:p>
    <w:p>
      <w:r>
        <w:t>As the platform grows, engineering teams should evaluate separating the core domain boundaries into independent microservices. The notification routing engines and AI processing loops are prime candidates for this transition, allowing them to scale independently using Kafka-driven event architectures.</w:t>
      </w:r>
    </w:p>
    <w:p>
      <w:pPr>
        <w:keepNext/>
        <w:spacing w:before="360" w:after="120"/>
      </w:pPr>
      <w:r>
        <w:rPr>
          <w:rFonts w:ascii="Arial" w:hAnsi="Arial"/>
          <w:b/>
          <w:color w:val="1B365D"/>
          <w:sz w:val="32"/>
        </w:rPr>
        <w:t>15. Suggested Technical Documentation Repository Structure</w:t>
      </w:r>
    </w:p>
    <w:p>
      <w:r>
        <w:t>To assist engineering teams during onboarding and system maintenance, technical documentation assets should be organized using the following clean repository layout:</w:t>
      </w:r>
    </w:p>
    <w:tbl>
      <w:tblPr>
        <w:tblW w:type="auto" w:w="0"/>
        <w:jc w:val="center"/>
        <w:tblLayout w:type="fixed"/>
        <w:tblLook w:firstColumn="1" w:firstRow="1" w:lastColumn="0" w:lastRow="0" w:noHBand="0" w:noVBand="1" w:val="04A0"/>
      </w:tblPr>
      <w:tblGrid>
        <w:gridCol w:w="9360"/>
      </w:tblGrid>
      <w:tr>
        <w:tc>
          <w:tcPr>
            <w:tcW w:type="dxa" w:w="9360"/>
            <w:shd w:fill="2B303A"/>
            <w:tcMar>
              <w:top w:w="120" w:type="dxa"/>
              <w:bottom w:w="120" w:type="dxa"/>
              <w:left w:w="150" w:type="dxa"/>
              <w:right w:w="150" w:type="dxa"/>
            </w:tcMar>
            <w:tcBorders>
              <w:top w:val="single" w:sz="8" w:space="0" w:color="4A5568"/>
              <w:bottom w:val="single" w:sz="8" w:space="0" w:color="4A5568"/>
              <w:left w:val="single" w:sz="8" w:space="0" w:color="4A5568"/>
              <w:right w:val="single" w:sz="8" w:space="0" w:color="4A5568"/>
            </w:tcBorders>
          </w:tcPr>
          <w:p>
            <w:pPr>
              <w:spacing w:after="0" w:line="240" w:lineRule="auto"/>
            </w:pPr>
            <w:r>
              <w:rPr>
                <w:rFonts w:ascii="Courier New" w:hAnsi="Courier New"/>
                <w:color w:val="F0F0F0"/>
                <w:sz w:val="17"/>
              </w:rPr>
              <w:t>deadlineos-architecture-docs/</w:t>
              <w:br/>
              <w:t>├── README.md                           # Main engineering landing file</w:t>
              <w:br/>
              <w:t>├── compliance-engine/                  # Core compliance calculation docs</w:t>
              <w:br/>
              <w:t>│   ├── statutory-rules-matrix.md</w:t>
              <w:br/>
              <w:t>│   └── dynamic-deadline-spec.md</w:t>
              <w:br/>
              <w:t>├── ai-infrastructure/                  # AI engine workflows and prompts</w:t>
              <w:br/>
              <w:t>│   ├── obligation-extraction-schema.json</w:t>
              <w:br/>
              <w:t>│   └── rag-knowledge-pipeline.md</w:t>
              <w:br/>
              <w:t>├── infrastructure-as-code/             # AWS CloudFormation &amp; Terraform setups</w:t>
              <w:br/>
              <w:t>│   ├── vpc-topology-config.yaml</w:t>
              <w:br/>
              <w:t>│   └── ecs-fargate-spec.json</w:t>
              <w:br/>
              <w:t>└── disaster-recovery/                  # Operational restoration runbooks</w:t>
              <w:br/>
              <w:t xml:space="preserve">    ├── data-backup-validation.md</w:t>
              <w:br/>
              <w:t xml:space="preserve">    └── multi-az-failover-runbook.md</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