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Arial" w:hAnsi="Arial"/>
          <w:b/>
          <w:color w:val="0F172A"/>
          <w:sz w:val="48"/>
        </w:rPr>
        <w:t>DeadlineOS</w:t>
        <w:br/>
        <w:t>FUTURE ROADMAP &amp; STRATEGIC VISION DOCUMENT</w:t>
      </w:r>
    </w:p>
    <w:p>
      <w:pPr>
        <w:spacing w:after="3600"/>
        <w:jc w:val="center"/>
      </w:pPr>
      <w:r>
        <w:rPr>
          <w:rFonts w:ascii="Arial" w:hAnsi="Arial"/>
          <w:color w:val="2563EB"/>
          <w:sz w:val="24"/>
        </w:rPr>
        <w:t>SaaS-to-Infrastructure Blueprint for a Sovereign AI-Native Compliance Network</w:t>
        <w:br/>
        <w:t>Strategic Planning, Series-A Capital Architecture, and Global Ecosystem Horizons</w:t>
      </w:r>
    </w:p>
    <w:p>
      <w:r>
        <w:rPr>
          <w:color w:val="64748B"/>
          <w:sz w:val="19"/>
        </w:rPr>
        <w:t>Prepared by: Core Architecture &amp; Product Strategy Board</w:t>
        <w:br/>
        <w:t>Document Classification: Venture Capital Due Diligence &amp; Engineering Blueprint</w:t>
        <w:br/>
        <w:t>Target Framework: Series-A Investment Committee, Strategic Enterprise Engineering</w:t>
        <w:br/>
        <w:t>Date of Inception: May 2026</w:t>
      </w:r>
    </w:p>
    <w:p>
      <w:r>
        <w:br w:type="page"/>
      </w:r>
    </w:p>
    <w:p>
      <w:pPr>
        <w:keepNext/>
        <w:spacing w:before="400" w:after="160"/>
      </w:pPr>
      <w:r>
        <w:rPr>
          <w:rFonts w:ascii="Arial" w:hAnsi="Arial"/>
          <w:b/>
          <w:color w:val="0F172A"/>
          <w:sz w:val="30"/>
        </w:rPr>
        <w:t>1. Executive Vision Overview</w:t>
      </w:r>
    </w:p>
    <w:p>
      <w:pPr>
        <w:keepNext/>
        <w:spacing w:before="280" w:after="120"/>
      </w:pPr>
      <w:r>
        <w:rPr>
          <w:rFonts w:ascii="Arial" w:hAnsi="Arial"/>
          <w:b/>
          <w:color w:val="2563EB"/>
          <w:sz w:val="24"/>
        </w:rPr>
        <w:t>1.1 Long-Term Product Vision</w:t>
      </w:r>
    </w:p>
    <w:p>
      <w:r>
        <w:t>DeadlineOS is fundamentally designed as a scalable compliance infrastructure ecosystem for Indian SMBs and accounting networks. The platform moves completely away from traditional, reactive notification tools and point-solution SaaS models. DeadlineOS functions as an active, AI-native compliance engine that completely automates data parsing, obligation extraction, dynamic schedule coordination, and institutional communication gates across corporate frameworks.</w:t>
      </w:r>
    </w:p>
    <w:p>
      <w:pPr>
        <w:keepNext/>
        <w:spacing w:before="280" w:after="120"/>
      </w:pPr>
      <w:r>
        <w:rPr>
          <w:rFonts w:ascii="Arial" w:hAnsi="Arial"/>
          <w:b/>
          <w:color w:val="2563EB"/>
          <w:sz w:val="24"/>
        </w:rPr>
        <w:t>1.2 Strategic Mission</w:t>
      </w:r>
    </w:p>
    <w:p>
      <w:r>
        <w:t>The core strategic mandate of DeadlineOS is to safeguard businesses from regulatory oversights, eliminate compounding penalty risk structures, and unify the disparate operational layers that separate corporate entities from their auditing infrastructure. By combining context-aware structural models with a highly scalable multi-tenant execution backend, the platform is engineered to transform compliance operational overhead into automated corporate intelligence networks.</w:t>
      </w:r>
    </w:p>
    <w:p>
      <w:pPr>
        <w:keepNext/>
        <w:spacing w:before="280" w:after="120"/>
      </w:pPr>
      <w:r>
        <w:rPr>
          <w:rFonts w:ascii="Arial" w:hAnsi="Arial"/>
          <w:b/>
          <w:color w:val="2563EB"/>
          <w:sz w:val="24"/>
        </w:rPr>
        <w:t>1.3 Platform Evolution Philosophy</w:t>
      </w:r>
    </w:p>
    <w:p>
      <w:r>
        <w:t>Compliance automation is uniquely structured by data compounding loops. Each successful tax submission, regulatory filing cycle, notice ingestion process, and client validation interaction feeds structural operational patterns back into the platform's core model layers. This creates a natural architectural fly-wheel, meaning our underlying compliance execution systems scale directly in accuracy and automation capabilities as tenant network transaction volumes expand.</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40" w:type="dxa"/>
            </w:tcMar>
            <w:tcBorders>
              <w:top w:val="none"/>
              <w:bottom w:val="none"/>
              <w:left w:val="single" w:sz="24" w:space="0" w:color="2563EB"/>
              <w:right w:val="none"/>
            </w:tcBorders>
          </w:tcPr>
          <w:p>
            <w:pPr>
              <w:spacing w:after="0"/>
            </w:pPr>
            <w:r>
              <w:rPr>
                <w:b/>
                <w:color w:val="2563EB"/>
                <w:sz w:val="19"/>
              </w:rPr>
              <w:t xml:space="preserve">[FOUNDATIONAL PARADIGM] </w:t>
            </w:r>
            <w:r>
              <w:rPr>
                <w:i/>
                <w:color w:val="0F172A"/>
                <w:sz w:val="19"/>
              </w:rPr>
              <w:t>DeadlineOS is not structured to merely display a user's regulatory calendar; it is explicitly engineered to handle the systemic underlying data pipelines, transitioning from an application tool to an implicit infrastructure network.</w:t>
            </w:r>
          </w:p>
        </w:tc>
      </w:tr>
    </w:tbl>
    <w:p>
      <w:pPr>
        <w:spacing w:before="0" w:after="80"/>
      </w:pPr>
    </w:p>
    <w:p>
      <w:pPr>
        <w:keepNext/>
        <w:spacing w:before="400" w:after="160"/>
      </w:pPr>
      <w:r>
        <w:rPr>
          <w:rFonts w:ascii="Arial" w:hAnsi="Arial"/>
          <w:b/>
          <w:color w:val="0F172A"/>
          <w:sz w:val="30"/>
        </w:rPr>
        <w:t>2. Current Product Positioning &amp; Market Expansion</w:t>
      </w:r>
    </w:p>
    <w:p>
      <w:pPr>
        <w:keepNext/>
        <w:spacing w:before="280" w:after="120"/>
      </w:pPr>
      <w:r>
        <w:rPr>
          <w:rFonts w:ascii="Arial" w:hAnsi="Arial"/>
          <w:b/>
          <w:color w:val="2563EB"/>
          <w:sz w:val="24"/>
        </w:rPr>
        <w:t>2.1 Current Product Positioning</w:t>
      </w:r>
    </w:p>
    <w:p>
      <w:r>
        <w:t>DeadlineOS currently runs as an AI-native compliance validation environment. The platform coordinates multi-entity filing workflows, processes unstructured financial assets through specialized extraction pipelines, maps timelines across core areas (GST, TDS, ROC, PF, ESIC), and provides interactive, secure Chartered Accountant workspaces.</w:t>
      </w:r>
    </w:p>
    <w:p>
      <w:pPr>
        <w:keepNext/>
        <w:spacing w:before="280" w:after="120"/>
      </w:pPr>
      <w:r>
        <w:rPr>
          <w:rFonts w:ascii="Arial" w:hAnsi="Arial"/>
          <w:b/>
          <w:color w:val="2563EB"/>
          <w:sz w:val="24"/>
        </w:rPr>
        <w:t>2.2 Platform Maturity Curve</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60" w:type="dxa"/>
              <w:right w:w="160" w:type="dxa"/>
            </w:tcMar>
            <w:tcBorders>
              <w:top w:val="single" w:sz="8" w:space="0" w:color="334155"/>
              <w:bottom w:val="single" w:sz="8" w:space="0" w:color="334155"/>
              <w:left w:val="single" w:sz="8" w:space="0" w:color="334155"/>
              <w:right w:val="single" w:sz="8" w:space="0" w:color="334155"/>
            </w:tcBorders>
          </w:tcPr>
          <w:p>
            <w:pPr>
              <w:spacing w:after="0" w:line="240" w:lineRule="auto"/>
            </w:pPr>
            <w:r>
              <w:rPr>
                <w:rFonts w:ascii="Courier New" w:hAnsi="Courier New"/>
                <w:color w:val="F1F5F9"/>
                <w:sz w:val="17"/>
              </w:rPr>
              <w:t>Maturity Level</w:t>
              <w:br/>
              <w:t xml:space="preserve">  ^</w:t>
              <w:br/>
              <w:t xml:space="preserve">  |                                                    [Phase 5: Sovereign Network]</w:t>
              <w:br/>
              <w:t xml:space="preserve">  |                                            [Phase 4: Embedded Finance]</w:t>
              <w:br/>
              <w:t xml:space="preserve">  |                                    [Phase 3: Open Enterprise API]</w:t>
              <w:br/>
              <w:t xml:space="preserve">  |                            [Phase 2: Predictive Risk Intelligence]</w:t>
              <w:br/>
              <w:t xml:space="preserve">  |                    [Phase 1: Compliance Workflow Core]</w:t>
              <w:br/>
              <w:t xml:space="preserve">  +----------------------------------------------------------------------------&gt; Timeline</w:t>
            </w:r>
          </w:p>
        </w:tc>
      </w:tr>
    </w:tbl>
    <w:p>
      <w:pPr>
        <w:spacing w:before="0" w:after="120"/>
      </w:pPr>
    </w:p>
    <w:p>
      <w:pPr>
        <w:keepNext/>
        <w:spacing w:before="280" w:after="120"/>
      </w:pPr>
      <w:r>
        <w:rPr>
          <w:rFonts w:ascii="Arial" w:hAnsi="Arial"/>
          <w:b/>
          <w:color w:val="2563EB"/>
          <w:sz w:val="24"/>
        </w:rPr>
        <w:t>2.3 Market Expansion Opportunity</w:t>
      </w:r>
    </w:p>
    <w:p>
      <w:r>
        <w:t>The target addressable market across the Indian SMB landscape spans millions of registered corporate entities facing increasingly complex, multi-tiered digital tax filing requirements. By capturing operational metadata early within the transaction pipeline, DeadlineOS is positioned to scale upwards into mid-market enterprise groups, multi-state holding companies, and global manufacturing operations needing unified localized compliance controls.</w:t>
      </w:r>
    </w:p>
    <w:p>
      <w:pPr>
        <w:keepNext/>
        <w:spacing w:before="400" w:after="160"/>
      </w:pPr>
      <w:r>
        <w:rPr>
          <w:rFonts w:ascii="Arial" w:hAnsi="Arial"/>
          <w:b/>
          <w:color w:val="0F172A"/>
          <w:sz w:val="30"/>
        </w:rPr>
        <w:t>3. Product Evolution Strategy</w:t>
      </w:r>
    </w:p>
    <w:p>
      <w:pPr>
        <w:keepNext/>
        <w:spacing w:before="280" w:after="120"/>
      </w:pPr>
      <w:r>
        <w:rPr>
          <w:rFonts w:ascii="Arial" w:hAnsi="Arial"/>
          <w:b/>
          <w:color w:val="2563EB"/>
          <w:sz w:val="24"/>
        </w:rPr>
        <w:t>3.1 Phased Operational Roadmap Strategy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Roadmap Horizon Phase</w:t>
            </w:r>
          </w:p>
        </w:tc>
        <w:tc>
          <w:tcPr>
            <w:tcW w:type="dxa" w:w="1728"/>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Strategic Structural Theme</w:t>
            </w:r>
          </w:p>
        </w:tc>
        <w:tc>
          <w:tcPr>
            <w:tcW w:type="dxa" w:w="3600"/>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Primary Engineering &amp; Feature Deliverables</w:t>
            </w:r>
          </w:p>
        </w:tc>
        <w:tc>
          <w:tcPr>
            <w:tcW w:type="dxa" w:w="2160"/>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Target Infrastructure Core</w:t>
            </w:r>
          </w:p>
        </w:tc>
      </w:tr>
      <w:tr>
        <w:tc>
          <w:tcPr>
            <w:tcW w:type="dxa" w:w="187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Phase 1 — Foundation</w:t>
            </w:r>
          </w:p>
        </w:tc>
        <w:tc>
          <w:tcPr>
            <w:tcW w:type="dxa" w:w="172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Compliance Orchestration</w:t>
            </w:r>
          </w:p>
        </w:tc>
        <w:tc>
          <w:tcPr>
            <w:tcW w:type="dxa" w:w="360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Dynamic pipeline mapping, WhatsApp gates, CA collaboration channels, secure dashboards</w:t>
            </w:r>
          </w:p>
        </w:tc>
        <w:tc>
          <w:tcPr>
            <w:tcW w:type="dxa" w:w="216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FastAPI Monolith, Async Celery Workers, Postgres, S3</w:t>
            </w:r>
          </w:p>
        </w:tc>
      </w:tr>
      <w:tr>
        <w:tc>
          <w:tcPr>
            <w:tcW w:type="dxa" w:w="1872"/>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Phase 2 — Intelligence</w:t>
            </w:r>
          </w:p>
        </w:tc>
        <w:tc>
          <w:tcPr>
            <w:tcW w:type="dxa" w:w="1728"/>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Predictive Operations</w:t>
            </w:r>
          </w:p>
        </w:tc>
        <w:tc>
          <w:tcPr>
            <w:tcW w:type="dxa" w:w="3600"/>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Filing risk scoring systems, automated schema matching, document anomaly flagging</w:t>
            </w:r>
          </w:p>
        </w:tc>
        <w:tc>
          <w:tcPr>
            <w:tcW w:type="dxa" w:w="2160"/>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pgvector Vector Databases, LangChain Orchestrators</w:t>
            </w:r>
          </w:p>
        </w:tc>
      </w:tr>
      <w:tr>
        <w:tc>
          <w:tcPr>
            <w:tcW w:type="dxa" w:w="187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Phase 3 — Infrastructure</w:t>
            </w:r>
          </w:p>
        </w:tc>
        <w:tc>
          <w:tcPr>
            <w:tcW w:type="dxa" w:w="172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API Grid Expansion</w:t>
            </w:r>
          </w:p>
        </w:tc>
        <w:tc>
          <w:tcPr>
            <w:tcW w:type="dxa" w:w="360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Developer API distribution, direct banking linkages, automated filing endpoints</w:t>
            </w:r>
          </w:p>
        </w:tc>
        <w:tc>
          <w:tcPr>
            <w:tcW w:type="dxa" w:w="216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Decoupled Microservices, Apache Kafka, API Gateways</w:t>
            </w:r>
          </w:p>
        </w:tc>
      </w:tr>
      <w:tr>
        <w:tc>
          <w:tcPr>
            <w:tcW w:type="dxa" w:w="1872"/>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Phase 4 — Ecosystem</w:t>
            </w:r>
          </w:p>
        </w:tc>
        <w:tc>
          <w:tcPr>
            <w:tcW w:type="dxa" w:w="1728"/>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Global Projections</w:t>
            </w:r>
          </w:p>
        </w:tc>
        <w:tc>
          <w:tcPr>
            <w:tcW w:type="dxa" w:w="3600"/>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Singapore/UAE expansion modules, multi-region compliance marketplace tooling</w:t>
            </w:r>
          </w:p>
        </w:tc>
        <w:tc>
          <w:tcPr>
            <w:tcW w:type="dxa" w:w="2160"/>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Multi-Region Cluster Engines, CloudFront Edge Meshes</w:t>
            </w:r>
          </w:p>
        </w:tc>
      </w:tr>
      <w:tr>
        <w:tc>
          <w:tcPr>
            <w:tcW w:type="dxa" w:w="187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Phase 5 — Vision</w:t>
            </w:r>
          </w:p>
        </w:tc>
        <w:tc>
          <w:tcPr>
            <w:tcW w:type="dxa" w:w="172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Autonomous Execution</w:t>
            </w:r>
          </w:p>
        </w:tc>
        <w:tc>
          <w:tcPr>
            <w:tcW w:type="dxa" w:w="360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Zero-touch compliance operations, live structural regulatory updates</w:t>
            </w:r>
          </w:p>
        </w:tc>
        <w:tc>
          <w:tcPr>
            <w:tcW w:type="dxa" w:w="216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Autonomous Agent Systems, Federated Edge ML Nodes</w:t>
            </w:r>
          </w:p>
        </w:tc>
      </w:tr>
    </w:tbl>
    <w:p>
      <w:pPr>
        <w:spacing w:after="120"/>
      </w:pPr>
    </w:p>
    <w:p>
      <w:pPr>
        <w:keepNext/>
        <w:spacing w:before="280" w:after="120"/>
      </w:pPr>
      <w:r>
        <w:rPr>
          <w:rFonts w:ascii="Arial" w:hAnsi="Arial"/>
          <w:b/>
          <w:color w:val="2563EB"/>
          <w:sz w:val="24"/>
        </w:rPr>
        <w:t>3.2 Product Evolution Timeline Diagram</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60" w:type="dxa"/>
              <w:right w:w="160" w:type="dxa"/>
            </w:tcMar>
            <w:tcBorders>
              <w:top w:val="single" w:sz="8" w:space="0" w:color="334155"/>
              <w:bottom w:val="single" w:sz="8" w:space="0" w:color="334155"/>
              <w:left w:val="single" w:sz="8" w:space="0" w:color="334155"/>
              <w:right w:val="single" w:sz="8" w:space="0" w:color="334155"/>
            </w:tcBorders>
          </w:tcPr>
          <w:p>
            <w:pPr>
              <w:spacing w:after="0" w:line="240" w:lineRule="auto"/>
            </w:pPr>
            <w:r>
              <w:rPr>
                <w:rFonts w:ascii="Courier New" w:hAnsi="Courier New"/>
                <w:color w:val="F1F5F9"/>
                <w:sz w:val="17"/>
              </w:rPr>
              <w:t>+-----------------------------------------------------------------------------------------+</w:t>
              <w:br/>
              <w:t>|                                    PRODUCT EVOLUTION TIMELINE                           |</w:t>
              <w:br/>
              <w:t>+-----------------------------------------------------------------------------------------+</w:t>
              <w:br/>
              <w:t>| [Phase 1: Foundation] ----&gt; [Phase 2: Intelligence] ----&gt; [Phase 3: Infrastructure]     |</w:t>
              <w:br/>
              <w:t>| - GST/TDS Routing Core       - Predictive Risk Scores       - Open Developer Gateways   |</w:t>
              <w:br/>
              <w:t>| - CA Hubs &amp; Task Boards      - Doc Matching Loops           - Embedded Finance Blocks   |</w:t>
              <w:br/>
              <w:t>|                                                                        |                |</w:t>
              <w:br/>
              <w:t>|                                                                        v                |</w:t>
              <w:br/>
              <w:t>| [Phase 5: Autonomous Vision] &lt;---------------------------- [Phase 4: Global Ecosystem]  |</w:t>
              <w:br/>
              <w:t>| - Agentic Zero-Touch Core                                    - UAE / Singapore Adapters |</w:t>
              <w:br/>
              <w:t>| - Sovereign Regulation Nodes                                 - Compliance Marketplace   |</w:t>
              <w:br/>
              <w:t>+-----------------------------------------------------------------------------------------+</w:t>
            </w:r>
          </w:p>
        </w:tc>
      </w:tr>
    </w:tbl>
    <w:p>
      <w:pPr>
        <w:spacing w:before="0" w:after="120"/>
      </w:pPr>
    </w:p>
    <w:p>
      <w:pPr>
        <w:keepNext/>
        <w:spacing w:before="400" w:after="160"/>
      </w:pPr>
      <w:r>
        <w:rPr>
          <w:rFonts w:ascii="Arial" w:hAnsi="Arial"/>
          <w:b/>
          <w:color w:val="0F172A"/>
          <w:sz w:val="30"/>
        </w:rPr>
        <w:t>4. AI-Native Compliance Infrastructure Vision</w:t>
      </w:r>
    </w:p>
    <w:p>
      <w:pPr>
        <w:keepNext/>
        <w:spacing w:before="280" w:after="120"/>
      </w:pPr>
      <w:r>
        <w:rPr>
          <w:rFonts w:ascii="Arial" w:hAnsi="Arial"/>
          <w:b/>
          <w:color w:val="2563EB"/>
          <w:sz w:val="24"/>
        </w:rPr>
        <w:t>4.1 AI Obligation Engine Evolution</w:t>
      </w:r>
    </w:p>
    <w:p>
      <w:r>
        <w:t>The extraction pipeline scales away from traditional prompt-heavy wrappers toward local, fine-tuned domain text-processing models. This structure is engineered to read complex government PDF templates, unstructured legal notices, and multi-state tax ledgers, converting them into validated, deterministic JSON database payloads with near-zero latency.</w:t>
      </w:r>
    </w:p>
    <w:p>
      <w:pPr>
        <w:keepNext/>
        <w:spacing w:before="280" w:after="120"/>
      </w:pPr>
      <w:r>
        <w:rPr>
          <w:rFonts w:ascii="Arial" w:hAnsi="Arial"/>
          <w:b/>
          <w:color w:val="2563EB"/>
          <w:sz w:val="24"/>
        </w:rPr>
        <w:t>4.2 AI Capability Roadmap Diagram</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60" w:type="dxa"/>
              <w:right w:w="160" w:type="dxa"/>
            </w:tcMar>
            <w:tcBorders>
              <w:top w:val="single" w:sz="8" w:space="0" w:color="334155"/>
              <w:bottom w:val="single" w:sz="8" w:space="0" w:color="334155"/>
              <w:left w:val="single" w:sz="8" w:space="0" w:color="334155"/>
              <w:right w:val="single" w:sz="8" w:space="0" w:color="334155"/>
            </w:tcBorders>
          </w:tcPr>
          <w:p>
            <w:pPr>
              <w:spacing w:after="0" w:line="240" w:lineRule="auto"/>
            </w:pPr>
            <w:r>
              <w:rPr>
                <w:rFonts w:ascii="Courier New" w:hAnsi="Courier New"/>
                <w:color w:val="F1F5F9"/>
                <w:sz w:val="17"/>
              </w:rPr>
              <w:t>+-----------------------------------------------------------------------------------------+</w:t>
              <w:br/>
              <w:t>|                                    AI CAPABILITY EVOLUTION MATRIX                       |</w:t>
              <w:br/>
              <w:t>+-----------------------------------------------------------------------------------------+</w:t>
              <w:br/>
              <w:t>| Phase 1: Context Extraction  --&gt; Parsing text via Instructor and matching JSON schemas |</w:t>
              <w:br/>
              <w:t>|                                                                                         |</w:t>
              <w:br/>
              <w:t>| Phase 2: RAG Layer Security  --&gt; Real-time statutory checks via pgvector vector indices |</w:t>
              <w:br/>
              <w:t>|                                                                                         |</w:t>
              <w:br/>
              <w:t>| Phase 3: Anomaly Isolation   --&gt; Scanning ledger items to flag potential ledger drift    |</w:t>
              <w:br/>
              <w:t>|                                                                                         |</w:t>
              <w:br/>
              <w:t>| Phase 4: Agentic Verification--&gt; Running cross-system workflows with background safety |</w:t>
              <w:br/>
              <w:t>+-----------------------------------------------------------------------------------------+</w:t>
            </w:r>
          </w:p>
        </w:tc>
      </w:tr>
    </w:tbl>
    <w:p>
      <w:pPr>
        <w:spacing w:before="0" w:after="120"/>
      </w:pPr>
    </w:p>
    <w:p>
      <w:pPr>
        <w:keepNext/>
        <w:spacing w:before="280" w:after="120"/>
      </w:pPr>
      <w:r>
        <w:rPr>
          <w:rFonts w:ascii="Arial" w:hAnsi="Arial"/>
          <w:b/>
          <w:color w:val="2563EB"/>
          <w:sz w:val="24"/>
        </w:rPr>
        <w:t>4.3 Predictive Compliance Intelligence Roadmap</w:t>
      </w:r>
    </w:p>
    <w:p>
      <w:r>
        <w:t>The platform introduces predictive operational threat indicators that monitor user workspaces. By parsing historical client upload behaviors, internal audit processing speeds, and tax liability ratios, DeadlineOS automatically flags workflows trending toward dynamic milestone failure windows well in advance of actual deadlines.</w:t>
      </w:r>
    </w:p>
    <w:p>
      <w:pPr>
        <w:keepNext/>
        <w:spacing w:before="280" w:after="120"/>
      </w:pPr>
      <w:r>
        <w:rPr>
          <w:rFonts w:ascii="Arial" w:hAnsi="Arial"/>
          <w:b/>
          <w:color w:val="2563EB"/>
          <w:sz w:val="24"/>
        </w:rPr>
        <w:t>4.4 Autonomous Filing Workflow Vision</w:t>
      </w:r>
    </w:p>
    <w:p>
      <w:r>
        <w:t>The long-term development horizon features zero-touch compliance automation loops. Verified corporate document assets are securely checked, dynamically reconciled against active transactional ledgers, matched with real-time tax portal requirements, and prepared for final direct API filing submission steps with minimal human oversight.</w:t>
      </w:r>
    </w:p>
    <w:p>
      <w:pPr>
        <w:keepNext/>
        <w:spacing w:before="400" w:after="160"/>
      </w:pPr>
      <w:r>
        <w:rPr>
          <w:rFonts w:ascii="Arial" w:hAnsi="Arial"/>
          <w:b/>
          <w:color w:val="0F172A"/>
          <w:sz w:val="30"/>
        </w:rPr>
        <w:t>5. Communications &amp; CA Partner Ecosystem Strategy</w:t>
      </w:r>
    </w:p>
    <w:p>
      <w:pPr>
        <w:keepNext/>
        <w:spacing w:before="280" w:after="120"/>
      </w:pPr>
      <w:r>
        <w:rPr>
          <w:rFonts w:ascii="Arial" w:hAnsi="Arial"/>
          <w:b/>
          <w:color w:val="2563EB"/>
          <w:sz w:val="24"/>
        </w:rPr>
        <w:t>5.1 WhatsApp &amp; Communication Ecosystem Expansion</w:t>
      </w:r>
    </w:p>
    <w:p>
      <w:r>
        <w:t>The communication layer scales into an interactive, transactional platform workspace. Rather than distributing passive alerts, the system executes conversational workflows over WhatsApp, allowing users to upload document assets, sign off on draft filing forms, and confirm payment balances directly within the secure messaging thread.</w:t>
      </w:r>
    </w:p>
    <w:p>
      <w:pPr>
        <w:keepNext/>
        <w:spacing w:before="280" w:after="120"/>
      </w:pPr>
      <w:r>
        <w:rPr>
          <w:rFonts w:ascii="Arial" w:hAnsi="Arial"/>
          <w:b/>
          <w:color w:val="2563EB"/>
          <w:sz w:val="24"/>
        </w:rPr>
        <w:t>5.2 CA Partner Ecosystem Strategy as a Distribution Moat</w:t>
      </w:r>
    </w:p>
    <w:p>
      <w:r>
        <w:t>Chartered Accountants function as core structural distribution nodes across our go-to-market architecture. Providing accounting networks with advanced, multi-tenant workspace management dashboards simplifies complex workflows across hundreds of separate corporate files. This approach turns the accounting firms into primary client acquisition networks, eliminating high direct sales costs.</w:t>
      </w:r>
    </w:p>
    <w:p>
      <w:pPr>
        <w:keepNext/>
        <w:spacing w:before="280" w:after="120"/>
      </w:pPr>
      <w:r>
        <w:rPr>
          <w:rFonts w:ascii="Arial" w:hAnsi="Arial"/>
          <w:b/>
          <w:color w:val="2563EB"/>
          <w:sz w:val="24"/>
        </w:rPr>
        <w:t>5.3 Ecosystem Flywheel Visualization</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60" w:type="dxa"/>
              <w:right w:w="160" w:type="dxa"/>
            </w:tcMar>
            <w:tcBorders>
              <w:top w:val="single" w:sz="8" w:space="0" w:color="334155"/>
              <w:bottom w:val="single" w:sz="8" w:space="0" w:color="334155"/>
              <w:left w:val="single" w:sz="8" w:space="0" w:color="334155"/>
              <w:right w:val="single" w:sz="8" w:space="0" w:color="334155"/>
            </w:tcBorders>
          </w:tcPr>
          <w:p>
            <w:pPr>
              <w:spacing w:after="0" w:line="240" w:lineRule="auto"/>
            </w:pPr>
            <w:r>
              <w:rPr>
                <w:rFonts w:ascii="Courier New" w:hAnsi="Courier New"/>
                <w:color w:val="F1F5F9"/>
                <w:sz w:val="17"/>
              </w:rPr>
              <w:t>+-------------------------------------------------------------------+</w:t>
              <w:br/>
              <w:t xml:space="preserve">      |   Auditing &amp; CA Networks Adopt Premium Management Dashboard Hubs   |</w:t>
              <w:br/>
              <w:t xml:space="preserve">      +-------------------------------------------------------------------+</w:t>
              <w:br/>
              <w:t xml:space="preserve">                                        |</w:t>
              <w:br/>
              <w:t xml:space="preserve">                                        v</w:t>
              <w:br/>
              <w:t xml:space="preserve">      +-------------------------------------------------------------------+</w:t>
              <w:br/>
              <w:t xml:space="preserve">      |   Thousands of Connected Corporate Entities Onboard via Partners   |</w:t>
              <w:br/>
              <w:t xml:space="preserve">      +-------------------------------------------------------------------+</w:t>
              <w:br/>
              <w:t xml:space="preserve">                                        |</w:t>
              <w:br/>
              <w:t xml:space="preserve">                                        v</w:t>
              <w:br/>
              <w:t xml:space="preserve">      +-------------------------------------------------------------------+</w:t>
              <w:br/>
              <w:t xml:space="preserve">      |   Filing Transaction Volumes Optimize Structural AI Model Paths   |</w:t>
              <w:br/>
              <w:t xml:space="preserve">      +-------------------------------------------------------------------+</w:t>
              <w:br/>
              <w:t xml:space="preserve">                                        |</w:t>
              <w:br/>
              <w:t xml:space="preserve">                                        v</w:t>
              <w:br/>
              <w:t xml:space="preserve">      +-------------------------------------------------------------------+</w:t>
              <w:br/>
              <w:t xml:space="preserve">      |   Platform Automation Capabilities Accelerate Network Lock-In     |</w:t>
              <w:br/>
              <w:t xml:space="preserve">      +-------------------------------------------------------------------+</w:t>
            </w:r>
          </w:p>
        </w:tc>
      </w:tr>
    </w:tbl>
    <w:p>
      <w:pPr>
        <w:spacing w:before="0" w:after="120"/>
      </w:pPr>
    </w:p>
    <w:p>
      <w:pPr>
        <w:keepNext/>
        <w:spacing w:before="400" w:after="160"/>
      </w:pPr>
      <w:r>
        <w:rPr>
          <w:rFonts w:ascii="Arial" w:hAnsi="Arial"/>
          <w:b/>
          <w:color w:val="0F172A"/>
          <w:sz w:val="30"/>
        </w:rPr>
        <w:t>6. Enterprise &amp; API Developer Ecosystem Blueprint</w:t>
      </w:r>
    </w:p>
    <w:p>
      <w:pPr>
        <w:keepNext/>
        <w:spacing w:before="280" w:after="120"/>
      </w:pPr>
      <w:r>
        <w:rPr>
          <w:rFonts w:ascii="Arial" w:hAnsi="Arial"/>
          <w:b/>
          <w:color w:val="2563EB"/>
          <w:sz w:val="24"/>
        </w:rPr>
        <w:t>6.1 Multi-Entity Enterprise Expansion</w:t>
      </w:r>
    </w:p>
    <w:p>
      <w:r>
        <w:t>Enterprise operational controls provide deep corporate hierarchy scaling targets. The platform allows modern holding groups, conglomerates, and distributed business networks to cleanly separate individual sub-entity operational workspaces while centralizing overall tracking health metrics within unified treasury control centers.</w:t>
      </w:r>
    </w:p>
    <w:p>
      <w:pPr>
        <w:keepNext/>
        <w:spacing w:before="280" w:after="120"/>
      </w:pPr>
      <w:r>
        <w:rPr>
          <w:rFonts w:ascii="Arial" w:hAnsi="Arial"/>
          <w:b/>
          <w:color w:val="2563EB"/>
          <w:sz w:val="24"/>
        </w:rPr>
        <w:t>6.2 API Platform &amp; Developer Ecosystem Vision</w:t>
      </w:r>
    </w:p>
    <w:p>
      <w:r>
        <w:t>Exposing our core compliance calculation pipelines, token extraction capabilities, and filing workflow modules via secure developer APIs enables corporate technology teams to build DeadlineOS automation direct into their internal ERP systems, custom HR platforms, and inventory ledgers.</w:t>
      </w:r>
    </w:p>
    <w:p>
      <w:pPr>
        <w:keepNext/>
        <w:spacing w:before="280" w:after="120"/>
      </w:pPr>
      <w:r>
        <w:rPr>
          <w:rFonts w:ascii="Arial" w:hAnsi="Arial"/>
          <w:b/>
          <w:color w:val="2563EB"/>
          <w:sz w:val="24"/>
        </w:rPr>
        <w:t>6.3 Fintech &amp; Banking Integration Roadmap</w:t>
      </w:r>
    </w:p>
    <w:p>
      <w:pPr>
        <w:pStyle w:val="ListBullet"/>
        <w:spacing w:after="80"/>
      </w:pPr>
      <w:r>
        <w:rPr>
          <w:b/>
        </w:rPr>
        <w:t xml:space="preserve">Corporate Treasury Integrations: </w:t>
      </w:r>
      <w:r>
        <w:t>Connects operational filing pipelines straight to business banking entities to support one-click corporate tax settlement operations.</w:t>
      </w:r>
    </w:p>
    <w:p>
      <w:pPr>
        <w:pStyle w:val="ListBullet"/>
        <w:spacing w:after="80"/>
      </w:pPr>
      <w:r>
        <w:rPr>
          <w:b/>
        </w:rPr>
        <w:t xml:space="preserve">Automated Risk Underwriting: </w:t>
      </w:r>
      <w:r>
        <w:t>Exposes real-time compliance history analytics to banking systems to streamline commercial credit underwriting steps.</w:t>
      </w:r>
    </w:p>
    <w:p>
      <w:pPr>
        <w:pStyle w:val="ListBullet"/>
        <w:spacing w:after="80"/>
      </w:pPr>
      <w:r>
        <w:rPr>
          <w:b/>
        </w:rPr>
        <w:t xml:space="preserve">Embedded Compliance Checks: </w:t>
      </w:r>
      <w:r>
        <w:t>Enables financial applications to check active compliance records before releasing capital distributions.</w:t>
      </w:r>
    </w:p>
    <w:p>
      <w:pPr>
        <w:keepNext/>
        <w:spacing w:before="400" w:after="160"/>
      </w:pPr>
      <w:r>
        <w:rPr>
          <w:rFonts w:ascii="Arial" w:hAnsi="Arial"/>
          <w:b/>
          <w:color w:val="0F172A"/>
          <w:sz w:val="30"/>
        </w:rPr>
        <w:t>7. Regulatory Knowledge &amp; Intel Engines</w:t>
      </w:r>
    </w:p>
    <w:p>
      <w:pPr>
        <w:keepNext/>
        <w:spacing w:before="280" w:after="120"/>
      </w:pPr>
      <w:r>
        <w:rPr>
          <w:rFonts w:ascii="Arial" w:hAnsi="Arial"/>
          <w:b/>
          <w:color w:val="2563EB"/>
          <w:sz w:val="24"/>
        </w:rPr>
        <w:t>7.1 Regulatory Intelligence Expansion</w:t>
      </w:r>
    </w:p>
    <w:p>
      <w:r>
        <w:t>The platform operates an automated data gathering framework that continuously tracks updates from official government portals. This engine instantly converts newly published changes from organizations like the CBIC, MCA, and CBDT into structured rulesets, updating global compliance matrices without requiring system updates.</w:t>
      </w:r>
    </w:p>
    <w:p>
      <w:pPr>
        <w:keepNext/>
        <w:spacing w:before="280" w:after="120"/>
      </w:pPr>
      <w:r>
        <w:rPr>
          <w:rFonts w:ascii="Arial" w:hAnsi="Arial"/>
          <w:b/>
          <w:color w:val="2563EB"/>
          <w:sz w:val="24"/>
        </w:rPr>
        <w:t>7.2 AI Copilot &amp; Assistant Vision</w:t>
      </w:r>
    </w:p>
    <w:p>
      <w:r>
        <w:t>A specialized natural-language interface provides compliance teams with conversational access to internal data layers. Users can execute ad-hoc analysis routines, cross-reference historical ledger files against active notices, and generate localized compliance posture write-ups on demand.</w:t>
      </w:r>
    </w:p>
    <w:p>
      <w:pPr>
        <w:keepNext/>
        <w:spacing w:before="280" w:after="120"/>
      </w:pPr>
      <w:r>
        <w:rPr>
          <w:rFonts w:ascii="Arial" w:hAnsi="Arial"/>
          <w:b/>
          <w:color w:val="2563EB"/>
          <w:sz w:val="24"/>
        </w:rPr>
        <w:t>7.3 RAG &amp; Compliance Knowledge Engine Evolution</w:t>
      </w:r>
    </w:p>
    <w:p>
      <w:r>
        <w:t>Knowledge routing processes utilize advanced vector layouts (`pgvector`) to anchor all LLM actions within verified, legally sound boundaries. The retrieval pipeline queries curated corporate laws, removing hallucination risks and securing data continuity across high-concurrency enterprise auditing transactions.</w:t>
      </w:r>
    </w:p>
    <w:p>
      <w:pPr>
        <w:keepNext/>
        <w:spacing w:before="400" w:after="160"/>
      </w:pPr>
      <w:r>
        <w:rPr>
          <w:rFonts w:ascii="Arial" w:hAnsi="Arial"/>
          <w:b/>
          <w:color w:val="0F172A"/>
          <w:sz w:val="30"/>
        </w:rPr>
        <w:t>8. Infrastructure Scaling &amp; Global Expansion</w:t>
      </w:r>
    </w:p>
    <w:p>
      <w:pPr>
        <w:keepNext/>
        <w:spacing w:before="280" w:after="120"/>
      </w:pPr>
      <w:r>
        <w:rPr>
          <w:rFonts w:ascii="Arial" w:hAnsi="Arial"/>
          <w:b/>
          <w:color w:val="2563EB"/>
          <w:sz w:val="24"/>
        </w:rPr>
        <w:t>8.1 Cloud Architecture Evolution Strategy</w:t>
      </w:r>
    </w:p>
    <w:p>
      <w:r>
        <w:t>The backend architecture implements a structured migration path away from unified modular deployment layouts, breaking core processing engines out into high-throughput microservices. The messaging layer transitions onto distributed Apache Kafka queues to secure data delivery during tax season transaction spikes.</w:t>
      </w:r>
    </w:p>
    <w:p>
      <w:pPr>
        <w:keepNext/>
        <w:spacing w:before="280" w:after="120"/>
      </w:pPr>
      <w:r>
        <w:rPr>
          <w:rFonts w:ascii="Arial" w:hAnsi="Arial"/>
          <w:b/>
          <w:color w:val="2563EB"/>
          <w:sz w:val="24"/>
        </w:rPr>
        <w:t>8.2 Infrastructure Scaling Roadmap Diagram</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60" w:type="dxa"/>
              <w:right w:w="160" w:type="dxa"/>
            </w:tcMar>
            <w:tcBorders>
              <w:top w:val="single" w:sz="8" w:space="0" w:color="334155"/>
              <w:bottom w:val="single" w:sz="8" w:space="0" w:color="334155"/>
              <w:left w:val="single" w:sz="8" w:space="0" w:color="334155"/>
              <w:right w:val="single" w:sz="8" w:space="0" w:color="334155"/>
            </w:tcBorders>
          </w:tcPr>
          <w:p>
            <w:pPr>
              <w:spacing w:after="0" w:line="240" w:lineRule="auto"/>
            </w:pPr>
            <w:r>
              <w:rPr>
                <w:rFonts w:ascii="Courier New" w:hAnsi="Courier New"/>
                <w:color w:val="F1F5F9"/>
                <w:sz w:val="17"/>
              </w:rPr>
              <w:t>+-----------------------------------------------------------------------------------------+</w:t>
              <w:br/>
              <w:t>|                                INFRASTRUCTURE SCALING BLUEPRINT                         |</w:t>
              <w:br/>
              <w:t>+-----------------------------------------------------------------------------------------+</w:t>
              <w:br/>
              <w:t>| Phase 1: Modular FastAPI Core --&gt; Unified DB Engine --&gt; Standard Redis Task Queues      |</w:t>
              <w:br/>
              <w:t>|                                                                                         |</w:t>
              <w:br/>
              <w:t>| Phase 2: Microservices Extract --&gt; Decoupled Alert Engine --&gt; pgvector Vector Clusters  |</w:t>
              <w:br/>
              <w:t>|                                                                                         |</w:t>
              <w:br/>
              <w:t>| Phase 3: Global Mesh Network  --&gt; Apache Kafka Event Stream --&gt; Distributed Multi-Region|</w:t>
              <w:br/>
              <w:t>+-----------------------------------------------------------------------------------------+</w:t>
            </w:r>
          </w:p>
        </w:tc>
      </w:tr>
    </w:tbl>
    <w:p>
      <w:pPr>
        <w:spacing w:before="0" w:after="120"/>
      </w:pPr>
    </w:p>
    <w:p>
      <w:pPr>
        <w:keepNext/>
        <w:spacing w:before="280" w:after="120"/>
      </w:pPr>
      <w:r>
        <w:rPr>
          <w:rFonts w:ascii="Arial" w:hAnsi="Arial"/>
          <w:b/>
          <w:color w:val="2563EB"/>
          <w:sz w:val="24"/>
        </w:rPr>
        <w:t>8.3 Security &amp; Compliance Maturity Roadmap</w:t>
      </w:r>
    </w:p>
    <w:p>
      <w:r>
        <w:t>Platform security models will evolve to align with SOC2 Type II, ISO 27001, and Indian CERT-In guidelines. Implementing column-level envelope cryptographic operations secures high-value data keys, isolating tenant records even at the raw disk layer.</w:t>
      </w:r>
    </w:p>
    <w:p>
      <w:pPr>
        <w:keepNext/>
        <w:spacing w:before="280" w:after="120"/>
      </w:pPr>
      <w:r>
        <w:rPr>
          <w:rFonts w:ascii="Arial" w:hAnsi="Arial"/>
          <w:b/>
          <w:color w:val="2563EB"/>
          <w:sz w:val="24"/>
        </w:rPr>
        <w:t>8.4 Multi-Region &amp; International Expansion Strategy</w:t>
      </w:r>
    </w:p>
    <w:p>
      <w:r>
        <w:t>The core architectural logic isolates regional tax variables from global pipeline coordination engines, simplifying international market adaptations.</w:t>
      </w:r>
    </w:p>
    <w:p>
      <w:pPr>
        <w:keepNext/>
        <w:spacing w:before="200" w:after="80"/>
      </w:pPr>
      <w:r>
        <w:rPr>
          <w:rFonts w:ascii="Arial" w:hAnsi="Arial"/>
          <w:b/>
          <w:i/>
          <w:color w:val="0F172A"/>
          <w:sz w:val="22"/>
        </w:rPr>
        <w:t>International Expansion Roadmap Diagram</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60" w:type="dxa"/>
              <w:right w:w="160" w:type="dxa"/>
            </w:tcMar>
            <w:tcBorders>
              <w:top w:val="single" w:sz="8" w:space="0" w:color="334155"/>
              <w:bottom w:val="single" w:sz="8" w:space="0" w:color="334155"/>
              <w:left w:val="single" w:sz="8" w:space="0" w:color="334155"/>
              <w:right w:val="single" w:sz="8" w:space="0" w:color="334155"/>
            </w:tcBorders>
          </w:tcPr>
          <w:p>
            <w:pPr>
              <w:spacing w:after="0" w:line="240" w:lineRule="auto"/>
            </w:pPr>
            <w:r>
              <w:rPr>
                <w:rFonts w:ascii="Courier New" w:hAnsi="Courier New"/>
                <w:color w:val="F1F5F9"/>
                <w:sz w:val="17"/>
              </w:rPr>
              <w:t>+-----------------------------------------------------------------------------------------+</w:t>
              <w:br/>
              <w:t>|                                INTERNATIONAL EXPANSION ROADMAP                          |</w:t>
              <w:br/>
              <w:t>+-----------------------------------------------------------------------------------------+</w:t>
              <w:br/>
              <w:t>| [India Regional Node] -------------&gt; [Global Orchestration Core]                        |</w:t>
              <w:br/>
              <w:t>| (GST / TDS / MCA Foundations)        (Multi-Region Deployment Nodes)                    |</w:t>
              <w:br/>
              <w:t>|                                                     |                                   |</w:t>
              <w:br/>
              <w:t>|                                  +------------------+------------------+                |</w:t>
              <w:br/>
              <w:t>|                                  v                                     v                |</w:t>
              <w:br/>
              <w:t>|                     [Singapore Extension Hub]              [UAE Extension Hub]          |</w:t>
              <w:br/>
              <w:t>|                     - ACRA Workflow Tracking               - FTA Corporate Tax Controls |</w:t>
              <w:br/>
              <w:t>|                     - Region: ap-southeast-1               - Region: me-central-1       |</w:t>
              <w:br/>
              <w:t>+-----------------------------------------------------------------------------------------+</w:t>
            </w:r>
          </w:p>
        </w:tc>
      </w:tr>
    </w:tbl>
    <w:p>
      <w:pPr>
        <w:spacing w:before="0" w:after="120"/>
      </w:pPr>
    </w:p>
    <w:p>
      <w:pPr>
        <w:pStyle w:val="ListBullet"/>
        <w:spacing w:after="80"/>
      </w:pPr>
      <w:r>
        <w:rPr>
          <w:b/>
        </w:rPr>
        <w:t xml:space="preserve">Singapore Expansion: </w:t>
      </w:r>
      <w:r>
        <w:t>Adapts ingestion loops to verify compliance filings matching Singapore ACRA business registry standards.</w:t>
      </w:r>
    </w:p>
    <w:p>
      <w:pPr>
        <w:pStyle w:val="ListBullet"/>
        <w:spacing w:after="80"/>
      </w:pPr>
      <w:r>
        <w:rPr>
          <w:b/>
        </w:rPr>
        <w:t xml:space="preserve">UAE Expansion: </w:t>
      </w:r>
      <w:r>
        <w:t>Deploys regulatory logic to process corporate VAT and asset registries overseen by the UAE Federal Tax Authority.</w:t>
      </w:r>
    </w:p>
    <w:p>
      <w:pPr>
        <w:keepNext/>
        <w:spacing w:before="400" w:after="160"/>
      </w:pPr>
      <w:r>
        <w:rPr>
          <w:rFonts w:ascii="Arial" w:hAnsi="Arial"/>
          <w:b/>
          <w:color w:val="0F172A"/>
          <w:sz w:val="30"/>
        </w:rPr>
        <w:t>9. Monetization &amp; Growth Blueprint</w:t>
      </w:r>
    </w:p>
    <w:p>
      <w:pPr>
        <w:keepNext/>
        <w:spacing w:before="280" w:after="120"/>
      </w:pPr>
      <w:r>
        <w:rPr>
          <w:rFonts w:ascii="Arial" w:hAnsi="Arial"/>
          <w:b/>
          <w:color w:val="2563EB"/>
          <w:sz w:val="24"/>
        </w:rPr>
        <w:t>9.1 SaaS Monetization Expansion &amp; Pricing Model Evolution</w:t>
      </w:r>
    </w:p>
    <w:p>
      <w:r>
        <w:t>Platform monetization transitions from initial per-seat software access packages into dynamic, usage-based pricing models that align with business growth trajectories.</w:t>
      </w:r>
    </w:p>
    <w:p>
      <w:pPr>
        <w:keepNext/>
        <w:spacing w:before="280" w:after="120"/>
      </w:pPr>
      <w:r>
        <w:rPr>
          <w:rFonts w:ascii="Arial" w:hAnsi="Arial"/>
          <w:b/>
          <w:color w:val="2563EB"/>
          <w:sz w:val="24"/>
        </w:rPr>
        <w:t>9.2 Monetization Evolution Diagram</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60" w:type="dxa"/>
              <w:right w:w="160" w:type="dxa"/>
            </w:tcMar>
            <w:tcBorders>
              <w:top w:val="single" w:sz="8" w:space="0" w:color="334155"/>
              <w:bottom w:val="single" w:sz="8" w:space="0" w:color="334155"/>
              <w:left w:val="single" w:sz="8" w:space="0" w:color="334155"/>
              <w:right w:val="single" w:sz="8" w:space="0" w:color="334155"/>
            </w:tcBorders>
          </w:tcPr>
          <w:p>
            <w:pPr>
              <w:spacing w:after="0" w:line="240" w:lineRule="auto"/>
            </w:pPr>
            <w:r>
              <w:rPr>
                <w:rFonts w:ascii="Courier New" w:hAnsi="Courier New"/>
                <w:color w:val="F1F5F9"/>
                <w:sz w:val="17"/>
              </w:rPr>
              <w:t>[SaaS Software Baseline Access Plans] ---&gt; [Metered Document Extraction Ingestion Billing]</w:t>
              <w:br/>
              <w:t xml:space="preserve">                                                   |</w:t>
              <w:br/>
              <w:t xml:space="preserve">                                                   v</w:t>
              <w:br/>
              <w:t>[Embedded Financing Partner Rev-Share] &lt;--- [Developer API Data Connection Volume]</w:t>
            </w:r>
          </w:p>
        </w:tc>
      </w:tr>
    </w:tbl>
    <w:p>
      <w:pPr>
        <w:spacing w:before="0" w:after="120"/>
      </w:pPr>
    </w:p>
    <w:p>
      <w:pPr>
        <w:keepNext/>
        <w:spacing w:before="280" w:after="120"/>
      </w:pPr>
      <w:r>
        <w:rPr>
          <w:rFonts w:ascii="Arial" w:hAnsi="Arial"/>
          <w:b/>
          <w:color w:val="2563EB"/>
          <w:sz w:val="24"/>
        </w:rPr>
        <w:t>9.3 Marketplace &amp; Partner Ecosystem Vision</w:t>
      </w:r>
    </w:p>
    <w:p>
      <w:r>
        <w:t>An integrated application marketplace provides enterprise users with direct access to third-party financial utilities, specialized auditing plugins, custom reporting scripts, and legal consulting integrations, adding new platform ecosystem licensing revenue lines.</w:t>
      </w:r>
    </w:p>
    <w:p>
      <w:pPr>
        <w:keepNext/>
        <w:spacing w:before="280" w:after="120"/>
      </w:pPr>
      <w:r>
        <w:rPr>
          <w:rFonts w:ascii="Arial" w:hAnsi="Arial"/>
          <w:b/>
          <w:color w:val="2563EB"/>
          <w:sz w:val="24"/>
        </w:rPr>
        <w:t>9.4 Data Intelligence &amp; Benchmarking Opportunities</w:t>
      </w:r>
    </w:p>
    <w:p>
      <w:r>
        <w:t>Anonymized, aggregated operational compliance datasets enable the generation of unique market benchmark insights. These resources give enterprise leadership clear visibility into operational performance trends, vertical tracking costs, and asset efficiency scoring profiles.</w:t>
      </w:r>
    </w:p>
    <w:p>
      <w:pPr>
        <w:keepNext/>
        <w:spacing w:before="400" w:after="160"/>
      </w:pPr>
      <w:r>
        <w:rPr>
          <w:rFonts w:ascii="Arial" w:hAnsi="Arial"/>
          <w:b/>
          <w:color w:val="0F172A"/>
          <w:sz w:val="30"/>
        </w:rPr>
        <w:t>10. Competitive Moat &amp; Distribution Strategy</w:t>
      </w:r>
    </w:p>
    <w:p>
      <w:pPr>
        <w:keepNext/>
        <w:spacing w:before="280" w:after="120"/>
      </w:pPr>
      <w:r>
        <w:rPr>
          <w:rFonts w:ascii="Arial" w:hAnsi="Arial"/>
          <w:b/>
          <w:color w:val="2563EB"/>
          <w:sz w:val="24"/>
        </w:rPr>
        <w:t>10.1 Product Defensibility Evolution</w:t>
      </w:r>
    </w:p>
    <w:p>
      <w:r>
        <w:t>Software design elements focus heavily on building systemic integrations across connected corporate tools. By functioning as a central source of truth for dynamic document discovery, tracking verification, and team workflows, DeadlineOS creates strong platform substitution barriers.</w:t>
      </w:r>
    </w:p>
    <w:p>
      <w:pPr>
        <w:keepNext/>
        <w:spacing w:before="280" w:after="120"/>
      </w:pPr>
      <w:r>
        <w:rPr>
          <w:rFonts w:ascii="Arial" w:hAnsi="Arial"/>
          <w:b/>
          <w:color w:val="2563EB"/>
          <w:sz w:val="24"/>
        </w:rPr>
        <w:t>10.2 AI Data Flywheel Strategy</w:t>
      </w:r>
    </w:p>
    <w:p>
      <w:r>
        <w:t>Every parsed invoice asset, analyzed notice file, dynamic deadline shift calculation, and manual adjustment action refines our validation precision. This continuous optimization cycle consistently widens our capability gap over incoming market entries.</w:t>
      </w:r>
    </w:p>
    <w:p>
      <w:pPr>
        <w:keepNext/>
        <w:spacing w:before="280" w:after="120"/>
      </w:pPr>
      <w:r>
        <w:rPr>
          <w:rFonts w:ascii="Arial" w:hAnsi="Arial"/>
          <w:b/>
          <w:color w:val="2563EB"/>
          <w:sz w:val="24"/>
        </w:rPr>
        <w:t>10.3 Growth &amp; Distribution Strategy</w:t>
      </w:r>
    </w:p>
    <w:p>
      <w:pPr>
        <w:pStyle w:val="ListBullet"/>
        <w:spacing w:after="80"/>
      </w:pPr>
      <w:r>
        <w:rPr>
          <w:b/>
        </w:rPr>
        <w:t xml:space="preserve">Product Hunt &amp; Launch Framework: </w:t>
      </w:r>
      <w:r>
        <w:t>Coordinates launches on major product discovery portals to draw initial developer community interest and capture mid-market signups.</w:t>
      </w:r>
    </w:p>
    <w:p>
      <w:pPr>
        <w:pStyle w:val="ListBullet"/>
        <w:spacing w:after="80"/>
      </w:pPr>
      <w:r>
        <w:rPr>
          <w:b/>
        </w:rPr>
        <w:t xml:space="preserve">Founder-Led Content Strategy: </w:t>
      </w:r>
      <w:r>
        <w:t>Publishes detailed architectural execution maps and tech deep-dives to build credible organic trust among engineering leads.</w:t>
      </w:r>
    </w:p>
    <w:p>
      <w:pPr>
        <w:pStyle w:val="ListBullet"/>
        <w:spacing w:after="80"/>
      </w:pPr>
      <w:r>
        <w:rPr>
          <w:b/>
        </w:rPr>
        <w:t xml:space="preserve">Community Scaling Networks: </w:t>
      </w:r>
      <w:r>
        <w:t>Distributes specialized firm optimization sets to encourage organic platform adoption across accounting networks.</w:t>
      </w:r>
    </w:p>
    <w:p>
      <w:pPr>
        <w:keepNext/>
        <w:spacing w:before="400" w:after="160"/>
      </w:pPr>
      <w:r>
        <w:rPr>
          <w:rFonts w:ascii="Arial" w:hAnsi="Arial"/>
          <w:b/>
          <w:color w:val="0F172A"/>
          <w:sz w:val="30"/>
        </w:rPr>
        <w:t>11. Investor Readiness &amp; Organizational Metrics</w:t>
      </w:r>
    </w:p>
    <w:p>
      <w:pPr>
        <w:keepNext/>
        <w:spacing w:before="280" w:after="120"/>
      </w:pPr>
      <w:r>
        <w:rPr>
          <w:rFonts w:ascii="Arial" w:hAnsi="Arial"/>
          <w:b/>
          <w:color w:val="2563EB"/>
          <w:sz w:val="24"/>
        </w:rPr>
        <w:t>11.1 Series-A Readiness Roadmap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Key Operational Growth Metric</w:t>
            </w:r>
          </w:p>
        </w:tc>
        <w:tc>
          <w:tcPr>
            <w:tcW w:type="dxa" w:w="2016"/>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Current Baseline (May 2026)</w:t>
            </w:r>
          </w:p>
        </w:tc>
        <w:tc>
          <w:tcPr>
            <w:tcW w:type="dxa" w:w="2304"/>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Series-A Target Objectives</w:t>
            </w:r>
          </w:p>
        </w:tc>
        <w:tc>
          <w:tcPr>
            <w:tcW w:type="dxa" w:w="2736"/>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Strategic Architectural Priority Focus</w:t>
            </w:r>
          </w:p>
        </w:tc>
      </w:tr>
      <w:tr>
        <w:tc>
          <w:tcPr>
            <w:tcW w:type="dxa" w:w="2304"/>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Monthly Active Tenants</w:t>
            </w:r>
          </w:p>
        </w:tc>
        <w:tc>
          <w:tcPr>
            <w:tcW w:type="dxa" w:w="2016"/>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500 Account Spaces</w:t>
            </w:r>
          </w:p>
        </w:tc>
        <w:tc>
          <w:tcPr>
            <w:tcW w:type="dxa" w:w="2304"/>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5,000+ Verified Nodes</w:t>
            </w:r>
          </w:p>
        </w:tc>
        <w:tc>
          <w:tcPr>
            <w:tcW w:type="dxa" w:w="2736"/>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Deploy edge routing layers, optimize connection states</w:t>
            </w:r>
          </w:p>
        </w:tc>
      </w:tr>
      <w:tr>
        <w:tc>
          <w:tcPr>
            <w:tcW w:type="dxa" w:w="2304"/>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AI Processing Accuracy</w:t>
            </w:r>
          </w:p>
        </w:tc>
        <w:tc>
          <w:tcPr>
            <w:tcW w:type="dxa" w:w="2016"/>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82.4% Direct Parsing</w:t>
            </w:r>
          </w:p>
        </w:tc>
        <w:tc>
          <w:tcPr>
            <w:tcW w:type="dxa" w:w="2304"/>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98.5%+ Automated Match Rate</w:t>
            </w:r>
          </w:p>
        </w:tc>
        <w:tc>
          <w:tcPr>
            <w:tcW w:type="dxa" w:w="2736"/>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Fine-tune domain models, build robust RAG loops</w:t>
            </w:r>
          </w:p>
        </w:tc>
      </w:tr>
      <w:tr>
        <w:tc>
          <w:tcPr>
            <w:tcW w:type="dxa" w:w="2304"/>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API Operation Volume</w:t>
            </w:r>
          </w:p>
        </w:tc>
        <w:tc>
          <w:tcPr>
            <w:tcW w:type="dxa" w:w="2016"/>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Internal System Calls</w:t>
            </w:r>
          </w:p>
        </w:tc>
        <w:tc>
          <w:tcPr>
            <w:tcW w:type="dxa" w:w="2304"/>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10M+ Operations / Month</w:t>
            </w:r>
          </w:p>
        </w:tc>
        <w:tc>
          <w:tcPr>
            <w:tcW w:type="dxa" w:w="2736"/>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Transition backend nodes onto Apache Kafka grids</w:t>
            </w:r>
          </w:p>
        </w:tc>
      </w:tr>
      <w:tr>
        <w:tc>
          <w:tcPr>
            <w:tcW w:type="dxa" w:w="2304"/>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Enterprise Retention Profile</w:t>
            </w:r>
          </w:p>
        </w:tc>
        <w:tc>
          <w:tcPr>
            <w:tcW w:type="dxa" w:w="2016"/>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Standard SaaS Retention</w:t>
            </w:r>
          </w:p>
        </w:tc>
        <w:tc>
          <w:tcPr>
            <w:tcW w:type="dxa" w:w="2304"/>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Zero Net Revenue Attrition</w:t>
            </w:r>
          </w:p>
        </w:tc>
        <w:tc>
          <w:tcPr>
            <w:tcW w:type="dxa" w:w="2736"/>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Build hierarchical multi-entity control views</w:t>
            </w:r>
          </w:p>
        </w:tc>
      </w:tr>
    </w:tbl>
    <w:p>
      <w:pPr>
        <w:spacing w:after="120"/>
      </w:pPr>
    </w:p>
    <w:p>
      <w:pPr>
        <w:keepNext/>
        <w:spacing w:before="280" w:after="120"/>
      </w:pPr>
      <w:r>
        <w:rPr>
          <w:rFonts w:ascii="Arial" w:hAnsi="Arial"/>
          <w:b/>
          <w:color w:val="2563EB"/>
          <w:sz w:val="24"/>
        </w:rPr>
        <w:t>11.2 Team Expansion &amp; Engineering Organization Growth Plan</w:t>
      </w:r>
    </w:p>
    <w:p>
      <w:r>
        <w:t>The engineering organization will structured around focused technical units to support product scaling mandates:</w:t>
      </w:r>
    </w:p>
    <w:p>
      <w:pPr>
        <w:pStyle w:val="ListBullet"/>
        <w:spacing w:after="80"/>
      </w:pPr>
      <w:r>
        <w:rPr>
          <w:b/>
        </w:rPr>
        <w:t xml:space="preserve">Core Architecture &amp; Performance Unit: </w:t>
      </w:r>
      <w:r>
        <w:t>Manages core data pipelines, api gateway parameters, network scaling systems, and tenant isolation layer boundaries.</w:t>
      </w:r>
    </w:p>
    <w:p>
      <w:pPr>
        <w:pStyle w:val="ListBullet"/>
        <w:spacing w:after="80"/>
      </w:pPr>
      <w:r>
        <w:rPr>
          <w:b/>
        </w:rPr>
        <w:t xml:space="preserve">AI Systems Engineering Group: </w:t>
      </w:r>
      <w:r>
        <w:t>Coordinates embedding validation, fine-tuning structures, RAG chunk optimization, and extraction model evaluations.</w:t>
      </w:r>
    </w:p>
    <w:p>
      <w:pPr>
        <w:pStyle w:val="ListBullet"/>
        <w:spacing w:after="80"/>
      </w:pPr>
      <w:r>
        <w:rPr>
          <w:b/>
        </w:rPr>
        <w:t xml:space="preserve">Enterprise Lifecycle Management Cohort: </w:t>
      </w:r>
      <w:r>
        <w:t>Builds collaborative tools, operational reporting setups, and secure client-facing account dashboards.</w:t>
      </w:r>
    </w:p>
    <w:p>
      <w:pPr>
        <w:keepNext/>
        <w:spacing w:before="400" w:after="160"/>
      </w:pPr>
      <w:r>
        <w:rPr>
          <w:rFonts w:ascii="Arial" w:hAnsi="Arial"/>
          <w:b/>
          <w:color w:val="0F172A"/>
          <w:sz w:val="30"/>
        </w:rPr>
        <w:t>12. Future Technical Architecture &amp; Research</w:t>
      </w:r>
    </w:p>
    <w:p>
      <w:pPr>
        <w:keepNext/>
        <w:spacing w:before="280" w:after="120"/>
      </w:pPr>
      <w:r>
        <w:rPr>
          <w:rFonts w:ascii="Arial" w:hAnsi="Arial"/>
          <w:b/>
          <w:color w:val="2563EB"/>
          <w:sz w:val="24"/>
        </w:rPr>
        <w:t>12.1 Future Technical Architecture Evolution</w:t>
      </w:r>
    </w:p>
    <w:p>
      <w:r>
        <w:t>Future application logic will target zero-copy transaction parsing layers. Extracting processing components into separate container environments enables decoupled infrastructure blocks to handle significant traffic spikes during tax season without impacting core web application response speeds.</w:t>
      </w:r>
    </w:p>
    <w:p>
      <w:pPr>
        <w:keepNext/>
        <w:spacing w:before="280" w:after="120"/>
      </w:pPr>
      <w:r>
        <w:rPr>
          <w:rFonts w:ascii="Arial" w:hAnsi="Arial"/>
          <w:b/>
          <w:color w:val="2563EB"/>
          <w:sz w:val="24"/>
        </w:rPr>
        <w:t>12.2 Future AI Research Opportunities</w:t>
      </w:r>
    </w:p>
    <w:p>
      <w:r>
        <w:t>Research initiatives focus on developing compact, specialized local model setups trained exclusively on Indian taxation text libraries. Moving inference processing inward onto localized environments lowers data processing latency and significantly reduces external API operating expenses.</w:t>
      </w:r>
    </w:p>
    <w:p>
      <w:pPr>
        <w:keepNext/>
        <w:spacing w:before="280" w:after="120"/>
      </w:pPr>
      <w:r>
        <w:rPr>
          <w:rFonts w:ascii="Arial" w:hAnsi="Arial"/>
          <w:b/>
          <w:color w:val="2563EB"/>
          <w:sz w:val="24"/>
        </w:rPr>
        <w:t>12.3 Global Infrastructure Possibilities</w:t>
      </w:r>
    </w:p>
    <w:p>
      <w:r>
        <w:t>Long-term deployment structures look to establish localized, sovereign instance clusters that meet data residency rules across international banking and financial enterprise domains.</w:t>
      </w:r>
    </w:p>
    <w:p>
      <w:pPr>
        <w:keepNext/>
        <w:spacing w:before="400" w:after="160"/>
      </w:pPr>
      <w:r>
        <w:rPr>
          <w:rFonts w:ascii="Arial" w:hAnsi="Arial"/>
          <w:b/>
          <w:color w:val="0F172A"/>
          <w:sz w:val="30"/>
        </w:rPr>
        <w:t>13. Risk Management &amp; Mitigation Blueprint</w:t>
      </w:r>
    </w:p>
    <w:p>
      <w:pPr>
        <w:keepNext/>
        <w:spacing w:before="280" w:after="120"/>
      </w:pPr>
      <w:r>
        <w:rPr>
          <w:rFonts w:ascii="Arial" w:hAnsi="Arial"/>
          <w:b/>
          <w:color w:val="2563EB"/>
          <w:sz w:val="24"/>
        </w:rPr>
        <w:t>13.1 Strategic Risk Matrix</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Identified Risk Parameter</w:t>
            </w:r>
          </w:p>
        </w:tc>
        <w:tc>
          <w:tcPr>
            <w:tcW w:type="dxa" w:w="1440"/>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Impact Level</w:t>
            </w:r>
          </w:p>
        </w:tc>
        <w:tc>
          <w:tcPr>
            <w:tcW w:type="dxa" w:w="5328"/>
            <w:shd w:fill="0F172A"/>
            <w:tcMar>
              <w:top w:w="120" w:type="dxa"/>
              <w:bottom w:w="120" w:type="dxa"/>
              <w:left w:w="140" w:type="dxa"/>
              <w:right w:w="140" w:type="dxa"/>
            </w:tcMar>
            <w:tcBorders>
              <w:top w:val="none"/>
              <w:bottom w:val="single" w:sz="4" w:space="0" w:color="E2E8F0"/>
              <w:left w:val="none"/>
              <w:right w:val="single" w:sz="4" w:space="0" w:color="E2E8F0"/>
            </w:tcBorders>
          </w:tcPr>
          <w:p>
            <w:pPr>
              <w:spacing w:after="0"/>
            </w:pPr>
            <w:r>
              <w:rPr>
                <w:b/>
                <w:color w:val="FFFFFF"/>
                <w:sz w:val="19"/>
              </w:rPr>
              <w:t>Architectural &amp; Operational Mitigation Strategic Response</w:t>
            </w:r>
          </w:p>
        </w:tc>
      </w:tr>
      <w:tr>
        <w:tc>
          <w:tcPr>
            <w:tcW w:type="dxa" w:w="259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Government Endpoint Structural Alterations</w:t>
            </w:r>
          </w:p>
        </w:tc>
        <w:tc>
          <w:tcPr>
            <w:tcW w:type="dxa" w:w="144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High</w:t>
            </w:r>
          </w:p>
        </w:tc>
        <w:tc>
          <w:tcPr>
            <w:tcW w:type="dxa" w:w="532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Deploy parallel integration test workers that flag extraction variations before processing production data.</w:t>
            </w:r>
          </w:p>
        </w:tc>
      </w:tr>
      <w:tr>
        <w:tc>
          <w:tcPr>
            <w:tcW w:type="dxa" w:w="2592"/>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LLM Content Hallucinations</w:t>
            </w:r>
          </w:p>
        </w:tc>
        <w:tc>
          <w:tcPr>
            <w:tcW w:type="dxa" w:w="1440"/>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Critical</w:t>
            </w:r>
          </w:p>
        </w:tc>
        <w:tc>
          <w:tcPr>
            <w:tcW w:type="dxa" w:w="5328"/>
            <w:shd w:fill="F8FAFC"/>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Enforce strict schema validation rules through Pydantic blocks alongside human-in-the-loop fallback verification.</w:t>
            </w:r>
          </w:p>
        </w:tc>
      </w:tr>
      <w:tr>
        <w:tc>
          <w:tcPr>
            <w:tcW w:type="dxa" w:w="2592"/>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Cross-Tenant Data Exposure</w:t>
            </w:r>
          </w:p>
        </w:tc>
        <w:tc>
          <w:tcPr>
            <w:tcW w:type="dxa" w:w="1440"/>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Critical</w:t>
            </w:r>
          </w:p>
        </w:tc>
        <w:tc>
          <w:tcPr>
            <w:tcW w:type="dxa" w:w="5328"/>
            <w:shd w:fill="FFFFFF"/>
            <w:tcMar>
              <w:top w:w="100" w:type="dxa"/>
              <w:bottom w:w="100" w:type="dxa"/>
              <w:left w:w="140" w:type="dxa"/>
              <w:right w:w="140" w:type="dxa"/>
            </w:tcMar>
            <w:tcBorders>
              <w:top w:val="none"/>
              <w:bottom w:val="single" w:sz="4" w:space="0" w:color="E2E8F0"/>
              <w:left w:val="single" w:sz="4" w:space="0" w:color="E2E8F0"/>
              <w:right w:val="single" w:sz="4" w:space="0" w:color="E2E8F0"/>
            </w:tcBorders>
          </w:tcPr>
          <w:p>
            <w:pPr>
              <w:spacing w:after="0"/>
            </w:pPr>
            <w:r>
              <w:rPr>
                <w:color w:val="334155"/>
                <w:sz w:val="18"/>
              </w:rPr>
              <w:t>Implement strict context managers within the database layer to automatically inject isolation fields on all database operations.</w:t>
            </w:r>
          </w:p>
        </w:tc>
      </w:tr>
    </w:tbl>
    <w:p>
      <w:pPr>
        <w:spacing w:after="120"/>
      </w:pPr>
    </w:p>
    <w:p>
      <w:pPr>
        <w:keepNext/>
        <w:spacing w:before="280" w:after="120"/>
      </w:pPr>
      <w:r>
        <w:rPr>
          <w:rFonts w:ascii="Arial" w:hAnsi="Arial"/>
          <w:b/>
          <w:color w:val="2563EB"/>
          <w:sz w:val="24"/>
        </w:rPr>
        <w:t>13.2 Suggested Strategic Documentation Repository Structure</w:t>
      </w:r>
    </w:p>
    <w:p>
      <w:r>
        <w:t>To assist engineering teams during strategic onboarding and platform maintenance, product documentation assets should be organized using the following clean repository layout:</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60" w:type="dxa"/>
              <w:right w:w="160" w:type="dxa"/>
            </w:tcMar>
            <w:tcBorders>
              <w:top w:val="single" w:sz="8" w:space="0" w:color="334155"/>
              <w:bottom w:val="single" w:sz="8" w:space="0" w:color="334155"/>
              <w:left w:val="single" w:sz="8" w:space="0" w:color="334155"/>
              <w:right w:val="single" w:sz="8" w:space="0" w:color="334155"/>
            </w:tcBorders>
          </w:tcPr>
          <w:p>
            <w:pPr>
              <w:spacing w:after="0" w:line="240" w:lineRule="auto"/>
            </w:pPr>
            <w:r>
              <w:rPr>
                <w:rFonts w:ascii="Courier New" w:hAnsi="Courier New"/>
                <w:color w:val="F1F5F9"/>
                <w:sz w:val="17"/>
              </w:rPr>
              <w:t>deadlineos-strategic-roadmap/</w:t>
              <w:br/>
              <w:t>├── README.md                           # Corporate strategic landing entry file</w:t>
              <w:br/>
              <w:t>├── horizon-maps/                       # Strategic expansion phase specs</w:t>
              <w:br/>
              <w:t>│   ├── phase-1-foundation-spec.md</w:t>
              <w:br/>
              <w:t>│   └── phase-2-predictive-risk.md</w:t>
              <w:br/>
              <w:t>├── ecosystem-expansion/                # Partner integration strategies</w:t>
              <w:br/>
              <w:t>│   ├── ca-network-moat.md</w:t>
              <w:br/>
              <w:t>│   └── financial-api-specs.md</w:t>
              <w:br/>
              <w:t>├── monetization-models/                # Pricing structures and revenue lines</w:t>
              <w:br/>
              <w:t>│   ├── tier-evolution-matrix.json</w:t>
              <w:br/>
              <w:t>│   └── API-metering-logic.md</w:t>
              <w:br/>
              <w:t>└── international-compliance/           # Multi-region operational runbooks</w:t>
              <w:br/>
              <w:t xml:space="preserve">    ├── singapore-acra-alignment.md</w:t>
              <w:br/>
              <w:t xml:space="preserve">    └── UAE-fta-integration.md</w:t>
            </w:r>
          </w:p>
        </w:tc>
      </w:tr>
    </w:tbl>
    <w:p>
      <w:pPr>
        <w:spacing w:before="0" w:after="120"/>
      </w:pPr>
    </w:p>
    <w:p>
      <w:pPr>
        <w:keepNext/>
        <w:spacing w:before="400" w:after="160"/>
      </w:pPr>
      <w:r>
        <w:rPr>
          <w:rFonts w:ascii="Arial" w:hAnsi="Arial"/>
          <w:b/>
          <w:color w:val="0F172A"/>
          <w:sz w:val="30"/>
        </w:rPr>
        <w:t>14. Final Vision Statement &amp; Conclusion</w:t>
      </w:r>
    </w:p>
    <w:p>
      <w:pPr>
        <w:keepNext/>
        <w:spacing w:before="280" w:after="120"/>
      </w:pPr>
      <w:r>
        <w:rPr>
          <w:rFonts w:ascii="Arial" w:hAnsi="Arial"/>
          <w:b/>
          <w:color w:val="2563EB"/>
          <w:sz w:val="24"/>
        </w:rPr>
        <w:t>14.1 Final Vision Statement</w:t>
      </w:r>
    </w:p>
    <w:p>
      <w:r>
        <w:t>DeadlineOS is architected to transition from a focused workflow app into a foundational, global compliance infrastructure platform. By anchoring application mechanics within event-driven architectures and context-aware machine learning layers, DeadlineOS removes operational compliance uncertainty for growing modern enterprises.</w:t>
      </w:r>
    </w:p>
    <w:p>
      <w:pPr>
        <w:keepNext/>
        <w:spacing w:before="280" w:after="120"/>
      </w:pPr>
      <w:r>
        <w:rPr>
          <w:rFonts w:ascii="Arial" w:hAnsi="Arial"/>
          <w:b/>
          <w:color w:val="2563EB"/>
          <w:sz w:val="24"/>
        </w:rPr>
        <w:t>14.2 Conclusion</w:t>
      </w:r>
    </w:p>
    <w:p>
      <w:r>
        <w:t>This blueprint outlines a clear path through Series-A growth phases and international operational targets. Expanding platform capabilities, strengthening core partner integration barriers, and leveraging data compounding loops positions DeadlineOS to define the future of enterprise compliance automation infrastructure.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