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F172A"/>
          <w:sz w:val="48"/>
        </w:rPr>
        <w:t>DeadlineOS</w:t>
        <w:br/>
        <w:t>MONETIZATION STRATEGY &amp; REVENUE MODEL</w:t>
      </w:r>
    </w:p>
    <w:p>
      <w:pPr>
        <w:spacing w:after="3600"/>
        <w:jc w:val="center"/>
      </w:pPr>
      <w:r>
        <w:rPr>
          <w:rFonts w:ascii="Arial" w:hAnsi="Arial"/>
          <w:color w:val="475569"/>
          <w:sz w:val="23"/>
        </w:rPr>
        <w:t>Venture-Scale Revenue Architecture for an AI-Native Compliance Operating System</w:t>
        <w:br/>
        <w:t>Series-A Go-To-Market Mechanics, Channel Partner Architecture, and Monetization Models</w:t>
      </w:r>
    </w:p>
    <w:p>
      <w:r>
        <w:rPr>
          <w:color w:val="64748B"/>
          <w:sz w:val="19"/>
        </w:rPr>
        <w:t>Author: Revenue Operations Architecture Group</w:t>
        <w:br/>
        <w:t>Classification: Investor &amp; Executive Internal Strategy</w:t>
        <w:br/>
        <w:t>Target Framework: Series-A Financing Committee, GTM Leadership Onboarding</w:t>
        <w:br/>
        <w:t>Date of Inception: May 2026</w:t>
      </w:r>
    </w:p>
    <w:p>
      <w:r>
        <w:br w:type="page"/>
      </w:r>
    </w:p>
    <w:p>
      <w:pPr>
        <w:keepNext/>
        <w:spacing w:before="400" w:after="160"/>
      </w:pPr>
      <w:r>
        <w:rPr>
          <w:rFonts w:ascii="Arial" w:hAnsi="Arial"/>
          <w:b/>
          <w:color w:val="0F172A"/>
          <w:sz w:val="30"/>
        </w:rPr>
        <w:t>1. Executive Revenue Overview</w:t>
      </w:r>
    </w:p>
    <w:p>
      <w:r>
        <w:t>DeadlineOS is engineered as a B2B SaaS platform that operates as a foundational compliance infrastructure network for Indian SMBs and accounting networks. By shifting away from standard manual workflows, DeadlineOS unifies unstructured documentation processing, live legal tracking, dynamic task allocation, and multi-tenant accounting collaboration into a highly robust, secure runtime environment.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top w:val="none"/>
              <w:bottom w:val="none"/>
              <w:left w:val="single" w:sz="24" w:space="0" w:color="0F172A"/>
              <w:right w:val="none"/>
            </w:tcBorders>
          </w:tcPr>
          <w:p>
            <w:pPr>
              <w:spacing w:after="0"/>
            </w:pPr>
            <w:r>
              <w:rPr>
                <w:b/>
                <w:color w:val="0F172A"/>
                <w:sz w:val="19"/>
              </w:rPr>
              <w:t xml:space="preserve">[CORE REVENUE THESIS] </w:t>
            </w:r>
            <w:r>
              <w:rPr>
                <w:i/>
                <w:color w:val="334155"/>
                <w:sz w:val="19"/>
              </w:rPr>
              <w:t>Compounding penal tax regulations create automatic, recurring operational urgency across the Indian market. DeadlineOS monetizes this ongoing business pressure by capturing workflow logic at the source, transforming high-risk operational risk into highly predictable recurring software cash flow.</w:t>
            </w:r>
          </w:p>
        </w:tc>
      </w:tr>
    </w:tbl>
    <w:p>
      <w:pPr>
        <w:spacing w:before="0" w:after="80"/>
      </w:pPr>
    </w:p>
    <w:p>
      <w:pPr>
        <w:keepNext/>
        <w:spacing w:before="400" w:after="160"/>
      </w:pPr>
      <w:r>
        <w:rPr>
          <w:rFonts w:ascii="Arial" w:hAnsi="Arial"/>
          <w:b/>
          <w:color w:val="0F172A"/>
          <w:sz w:val="30"/>
        </w:rPr>
        <w:t>2. Product Monetization Philosophy</w:t>
      </w:r>
    </w:p>
    <w:p>
      <w:r>
        <w:t>The pricing models are designed around explicit value extraction. Instead of charging for basic storage limits or seat counts, the system anchors monetization to operational scale metrics. Revenue streams expand dynamically through higher document ingestion volumes, broader multi-entity connections, transactional alert distributions, and deep automated auditing integrations.</w:t>
      </w:r>
    </w:p>
    <w:p>
      <w:pPr>
        <w:keepNext/>
        <w:spacing w:before="280" w:after="120"/>
      </w:pPr>
      <w:r>
        <w:rPr>
          <w:rFonts w:ascii="Arial" w:hAnsi="Arial"/>
          <w:b/>
          <w:color w:val="475569"/>
          <w:sz w:val="24"/>
        </w:rPr>
        <w:t>2.1 Platform Revenue Flywheel Topology</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60" w:type="dxa"/>
              <w:right w:w="160" w:type="dxa"/>
            </w:tcMar>
            <w:tcBorders>
              <w:top w:val="single" w:sz="8" w:space="0" w:color="475569"/>
              <w:bottom w:val="single" w:sz="8" w:space="0" w:color="475569"/>
              <w:left w:val="single" w:sz="8" w:space="0" w:color="475569"/>
              <w:right w:val="single" w:sz="8" w:space="0" w:color="475569"/>
            </w:tcBorders>
          </w:tcPr>
          <w:p>
            <w:pPr>
              <w:spacing w:after="0" w:line="240" w:lineRule="auto"/>
            </w:pPr>
            <w:r>
              <w:rPr>
                <w:rFonts w:ascii="Courier New" w:hAnsi="Courier New"/>
                <w:color w:val="F1F5F9"/>
                <w:sz w:val="17"/>
              </w:rPr>
              <w:t>+-------------------------------------------------------+</w:t>
              <w:br/>
              <w:t xml:space="preserve">     |   Free CA Workspaces Lower Client Inbound CAC Costs   |</w:t>
              <w:br/>
              <w:t xml:space="preserve">     +-------------------------------------------------------+</w:t>
              <w:br/>
              <w:t xml:space="preserve">                                 |</w:t>
              <w:br/>
              <w:t xml:space="preserve">                                 v</w:t>
              <w:br/>
              <w:t xml:space="preserve">     +-------------------------------------------------------+</w:t>
              <w:br/>
              <w:t xml:space="preserve">     |   SMB Clients Adopt Paid Ingestion &amp; Reporting Tiers  |</w:t>
              <w:br/>
              <w:t xml:space="preserve">     +-------------------------------------------------------+</w:t>
              <w:br/>
              <w:t xml:space="preserve">                                 |</w:t>
              <w:br/>
              <w:t xml:space="preserve">                                 v</w:t>
              <w:br/>
              <w:t xml:space="preserve">     +-------------------------------------------------------+</w:t>
              <w:br/>
              <w:t xml:space="preserve">     |   Multi-Entity Scaled Workspaces Expand Account ACV   |</w:t>
              <w:br/>
              <w:t xml:space="preserve">     +-------------------------------------------------------+</w:t>
              <w:br/>
              <w:t xml:space="preserve">                                 |</w:t>
              <w:br/>
              <w:t xml:space="preserve">                                 v</w:t>
              <w:br/>
              <w:t xml:space="preserve">     +-------------------------------------------------------+</w:t>
              <w:br/>
              <w:t xml:space="preserve">     |   API &amp; Fintech Gateways Unlock Embedded Monetization |</w:t>
              <w:br/>
              <w:t xml:space="preserve">     +-------------------------------------------------------+</w:t>
            </w:r>
          </w:p>
        </w:tc>
      </w:tr>
    </w:tbl>
    <w:p>
      <w:pPr>
        <w:spacing w:before="0" w:after="120"/>
      </w:pPr>
    </w:p>
    <w:p>
      <w:pPr>
        <w:keepNext/>
        <w:spacing w:before="400" w:after="160"/>
      </w:pPr>
      <w:r>
        <w:rPr>
          <w:rFonts w:ascii="Arial" w:hAnsi="Arial"/>
          <w:b/>
          <w:color w:val="0F172A"/>
          <w:sz w:val="30"/>
        </w:rPr>
        <w:t>3. Market Opportunity Analysis</w:t>
      </w:r>
    </w:p>
    <w:p>
      <w:pPr>
        <w:keepNext/>
        <w:spacing w:before="280" w:after="120"/>
      </w:pPr>
      <w:r>
        <w:rPr>
          <w:rFonts w:ascii="Arial" w:hAnsi="Arial"/>
          <w:b/>
          <w:color w:val="475569"/>
          <w:sz w:val="24"/>
        </w:rPr>
        <w:t>3.1 Indian SMB Compliance Market Size</w:t>
      </w:r>
    </w:p>
    <w:p>
      <w:r>
        <w:t>The emergence of complex digital tax platforms in India—such as the GSTN framework, real-time e-invoicing portals, and continuous updates across corporate secretarial platforms (MCA21)—has fundamentally transformed business compliance operations. Compliance tasks are no longer simple administrative checks; they require deep operational monitoring to protect working capital lines against systemic penalties and lost input tax credits.</w:t>
      </w:r>
    </w:p>
    <w:p>
      <w:pPr>
        <w:keepNext/>
        <w:spacing w:before="280" w:after="120"/>
      </w:pPr>
      <w:r>
        <w:rPr>
          <w:rFonts w:ascii="Arial" w:hAnsi="Arial"/>
          <w:b/>
          <w:color w:val="475569"/>
          <w:sz w:val="24"/>
        </w:rPr>
        <w:t>3.2 TAM / SAM / SOM Market Architecture Breakdown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Market Segment Category</w:t>
            </w:r>
          </w:p>
        </w:tc>
        <w:tc>
          <w:tcPr>
            <w:tcW w:type="dxa" w:w="388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Strategic Boundary definition</w:t>
            </w:r>
          </w:p>
        </w:tc>
        <w:tc>
          <w:tcPr>
            <w:tcW w:type="dxa" w:w="288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Projected Capital Valuation Scale</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TAM (Total Addressable Market)</w:t>
            </w:r>
          </w:p>
        </w:tc>
        <w:tc>
          <w:tcPr>
            <w:tcW w:type="dxa" w:w="388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All active registered commercial GST/Corporate entities inside India</w:t>
            </w:r>
          </w:p>
        </w:tc>
        <w:tc>
          <w:tcPr>
            <w:tcW w:type="dxa" w:w="288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$4.8 Billion USD</w:t>
            </w:r>
          </w:p>
        </w:tc>
      </w:tr>
      <w:tr>
        <w:tc>
          <w:tcPr>
            <w:tcW w:type="dxa" w:w="259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SAM (Serviceable Addressable Market)</w:t>
            </w:r>
          </w:p>
        </w:tc>
        <w:tc>
          <w:tcPr>
            <w:tcW w:type="dxa" w:w="388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Formal tech-enabled SMBs requiring structured accounting software</w:t>
            </w:r>
          </w:p>
        </w:tc>
        <w:tc>
          <w:tcPr>
            <w:tcW w:type="dxa" w:w="288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$1.2 Billion USD</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SOM (Serviceable Obtainable Market)</w:t>
            </w:r>
          </w:p>
        </w:tc>
        <w:tc>
          <w:tcPr>
            <w:tcW w:type="dxa" w:w="388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Entities captured via our aggregated CA distribution network nodes</w:t>
            </w:r>
          </w:p>
        </w:tc>
        <w:tc>
          <w:tcPr>
            <w:tcW w:type="dxa" w:w="288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$180 Million USD</w:t>
            </w:r>
          </w:p>
        </w:tc>
      </w:tr>
    </w:tbl>
    <w:p>
      <w:pPr>
        <w:spacing w:after="120"/>
      </w:pPr>
    </w:p>
    <w:p>
      <w:pPr>
        <w:keepNext/>
        <w:spacing w:before="400" w:after="160"/>
      </w:pPr>
      <w:r>
        <w:rPr>
          <w:rFonts w:ascii="Arial" w:hAnsi="Arial"/>
          <w:b/>
          <w:color w:val="0F172A"/>
          <w:sz w:val="30"/>
        </w:rPr>
        <w:t>4.1 Customer Segmentation Strategy</w:t>
      </w:r>
    </w:p>
    <w:p>
      <w:r>
        <w:t>The go-to-market structure separates clients into clear operational tiers, matching product features directly with transactional volume requirements.</w:t>
      </w:r>
    </w:p>
    <w:p>
      <w:pPr>
        <w:pStyle w:val="ListBullet"/>
        <w:spacing w:after="80"/>
      </w:pPr>
      <w:r>
        <w:rPr>
          <w:b/>
        </w:rPr>
        <w:t xml:space="preserve">Emerging Corporate SMBs: </w:t>
      </w:r>
      <w:r>
        <w:t>Independent operational businesses managing single-state filing pipelines with standard document ingestion needs.</w:t>
      </w:r>
    </w:p>
    <w:p>
      <w:pPr>
        <w:pStyle w:val="ListBullet"/>
        <w:spacing w:after="80"/>
      </w:pPr>
      <w:r>
        <w:rPr>
          <w:b/>
        </w:rPr>
        <w:t xml:space="preserve">Multi-Entity Groups: </w:t>
      </w:r>
      <w:r>
        <w:t>Holding structures, fast-growing startups, and mid-market firms running multiple legal sub-entities across different states.</w:t>
      </w:r>
    </w:p>
    <w:p>
      <w:pPr>
        <w:pStyle w:val="ListBullet"/>
        <w:spacing w:after="80"/>
      </w:pPr>
      <w:r>
        <w:rPr>
          <w:b/>
        </w:rPr>
        <w:t xml:space="preserve">CA &amp; Accounting Networks: </w:t>
      </w:r>
      <w:r>
        <w:t>Chartered Accountants, independent corporate secretaries, and professional audit partnerships seeking clean, multi-tenant workspace control over their client portfolios.</w:t>
      </w:r>
    </w:p>
    <w:p>
      <w:pPr>
        <w:keepNext/>
        <w:spacing w:before="400" w:after="160"/>
      </w:pPr>
      <w:r>
        <w:rPr>
          <w:rFonts w:ascii="Arial" w:hAnsi="Arial"/>
          <w:b/>
          <w:color w:val="0F172A"/>
          <w:sz w:val="30"/>
        </w:rPr>
        <w:t>5. Primary Revenue Streams</w:t>
      </w:r>
    </w:p>
    <w:p>
      <w:pPr>
        <w:keepNext/>
        <w:spacing w:before="280" w:after="120"/>
      </w:pPr>
      <w:r>
        <w:rPr>
          <w:rFonts w:ascii="Arial" w:hAnsi="Arial"/>
          <w:b/>
          <w:color w:val="475569"/>
          <w:sz w:val="24"/>
        </w:rPr>
        <w:t>5.1 SaaS Subscription Tiers &amp; Pricing Architecture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Subscription Pricing Tier</w:t>
            </w:r>
          </w:p>
        </w:tc>
        <w:tc>
          <w:tcPr>
            <w:tcW w:type="dxa" w:w="172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Target Base Segment</w:t>
            </w:r>
          </w:p>
        </w:tc>
        <w:tc>
          <w:tcPr>
            <w:tcW w:type="dxa" w:w="331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Core Feature Packaging &amp; Ingestion Limits</w:t>
            </w:r>
          </w:p>
        </w:tc>
        <w:tc>
          <w:tcPr>
            <w:tcW w:type="dxa" w:w="216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Monthly Pricing Structure (INR)</w:t>
            </w:r>
          </w:p>
        </w:tc>
      </w:tr>
      <w:tr>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Core Inception</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Micro-SMB Entities</w:t>
            </w:r>
          </w:p>
        </w:tc>
        <w:tc>
          <w:tcPr>
            <w:tcW w:type="dxa" w:w="331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Single entity, 50 AI document parses/mo, standard automated alerts</w:t>
            </w:r>
          </w:p>
        </w:tc>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1,499 / Month</w:t>
            </w:r>
          </w:p>
        </w:tc>
      </w:tr>
      <w:tr>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Growth Scale</w:t>
            </w:r>
          </w:p>
        </w:tc>
        <w:tc>
          <w:tcPr>
            <w:tcW w:type="dxa" w:w="17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Scaling Enterprises</w:t>
            </w:r>
          </w:p>
        </w:tc>
        <w:tc>
          <w:tcPr>
            <w:tcW w:type="dxa" w:w="331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Up to 3 legal entities, 250 AI parses/mo, advanced workflow routing</w:t>
            </w:r>
          </w:p>
        </w:tc>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3,999 / Month</w:t>
            </w:r>
          </w:p>
        </w:tc>
      </w:tr>
      <w:tr>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Partner Workspace</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Accounting / CA Hubs</w:t>
            </w:r>
          </w:p>
        </w:tc>
        <w:tc>
          <w:tcPr>
            <w:tcW w:type="dxa" w:w="331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Unlimited staff seats, multi-client portals, practice tracking</w:t>
            </w:r>
          </w:p>
        </w:tc>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Free (CAC Hook) / Pro at INR 7,999 / Mo</w:t>
            </w:r>
          </w:p>
        </w:tc>
      </w:tr>
      <w:tr>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Custom Grid</w:t>
            </w:r>
          </w:p>
        </w:tc>
        <w:tc>
          <w:tcPr>
            <w:tcW w:type="dxa" w:w="17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Enterprise Operations</w:t>
            </w:r>
          </w:p>
        </w:tc>
        <w:tc>
          <w:tcPr>
            <w:tcW w:type="dxa" w:w="331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Unlimited entities, custom SLA windows, dedicated processing pipelines</w:t>
            </w:r>
          </w:p>
        </w:tc>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Custom Contract / Volume Tiers</w:t>
            </w:r>
          </w:p>
        </w:tc>
      </w:tr>
    </w:tbl>
    <w:p>
      <w:pPr>
        <w:spacing w:after="120"/>
      </w:pPr>
    </w:p>
    <w:p>
      <w:pPr>
        <w:keepNext/>
        <w:spacing w:before="280" w:after="120"/>
      </w:pPr>
      <w:r>
        <w:rPr>
          <w:rFonts w:ascii="Arial" w:hAnsi="Arial"/>
          <w:b/>
          <w:color w:val="475569"/>
          <w:sz w:val="24"/>
        </w:rPr>
        <w:t>5.2 Freemium vs Paid Strategy</w:t>
      </w:r>
    </w:p>
    <w:p>
      <w:r>
        <w:t>The acquisition engine targets accounting professionals with a free practice-management tier. CAs onboard their existing corporate client networks onto the system to optimize tracking dashboards. Once connected, individual clients unlock paid access tiers to access features like advanced AI ingestion, custom reporting, and direct workspace integrations.</w:t>
      </w:r>
    </w:p>
    <w:p>
      <w:pPr>
        <w:keepNext/>
        <w:spacing w:before="400" w:after="160"/>
      </w:pPr>
      <w:r>
        <w:rPr>
          <w:rFonts w:ascii="Arial" w:hAnsi="Arial"/>
          <w:b/>
          <w:color w:val="0F172A"/>
          <w:sz w:val="30"/>
        </w:rPr>
        <w:t>6. Expansion &amp; Monetization Opportunities</w:t>
      </w:r>
    </w:p>
    <w:p>
      <w:pPr>
        <w:keepNext/>
        <w:spacing w:before="280" w:after="120"/>
      </w:pPr>
      <w:r>
        <w:rPr>
          <w:rFonts w:ascii="Arial" w:hAnsi="Arial"/>
          <w:b/>
          <w:color w:val="475569"/>
          <w:sz w:val="24"/>
        </w:rPr>
        <w:t>6.1 API Monetization Strategy Structure</w:t>
      </w:r>
    </w:p>
    <w:p>
      <w:r>
        <w:t>Exposing our infrastructure layer through secure developer endpoints creates a high-margin revenue model. Third-party development teams and enterprise internal systems pay per API token call to run automated document extraction loops, verify filing parameters, and synchronize status changes within external ERP platforms.</w:t>
      </w:r>
    </w:p>
    <w:p>
      <w:pPr>
        <w:keepNext/>
        <w:spacing w:before="280" w:after="120"/>
      </w:pPr>
      <w:r>
        <w:rPr>
          <w:rFonts w:ascii="Arial" w:hAnsi="Arial"/>
          <w:b/>
          <w:color w:val="475569"/>
          <w:sz w:val="24"/>
        </w:rPr>
        <w:t>6.2 AI Intelligence &amp; Volume Add-Ons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Operational Value Vector Add-On</w:t>
            </w:r>
          </w:p>
        </w:tc>
        <w:tc>
          <w:tcPr>
            <w:tcW w:type="dxa" w:w="388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Pricing Architecture Matrix Structure</w:t>
            </w:r>
          </w:p>
        </w:tc>
        <w:tc>
          <w:tcPr>
            <w:tcW w:type="dxa" w:w="288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Primary Value Extraction Metric</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AI Ingestion Booster Block</w:t>
            </w:r>
          </w:p>
        </w:tc>
        <w:tc>
          <w:tcPr>
            <w:tcW w:type="dxa" w:w="388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750 per pack of 100 parses</w:t>
            </w:r>
          </w:p>
        </w:tc>
        <w:tc>
          <w:tcPr>
            <w:tcW w:type="dxa" w:w="288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Metered document parsing volume limits</w:t>
            </w:r>
          </w:p>
        </w:tc>
      </w:tr>
      <w:tr>
        <w:tc>
          <w:tcPr>
            <w:tcW w:type="dxa" w:w="259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WhatsApp Business Channel Node</w:t>
            </w:r>
          </w:p>
        </w:tc>
        <w:tc>
          <w:tcPr>
            <w:tcW w:type="dxa" w:w="388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499 / entity / month + Meta direct costs</w:t>
            </w:r>
          </w:p>
        </w:tc>
        <w:tc>
          <w:tcPr>
            <w:tcW w:type="dxa" w:w="288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High-frequency alerting transaction volumes</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Multi-Entity Enterprise Bridge</w:t>
            </w:r>
          </w:p>
        </w:tc>
        <w:tc>
          <w:tcPr>
            <w:tcW w:type="dxa" w:w="388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999 / additional legal entity / month</w:t>
            </w:r>
          </w:p>
        </w:tc>
        <w:tc>
          <w:tcPr>
            <w:tcW w:type="dxa" w:w="288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Expansion across corporate sub-structures</w:t>
            </w:r>
          </w:p>
        </w:tc>
      </w:tr>
      <w:tr>
        <w:tc>
          <w:tcPr>
            <w:tcW w:type="dxa" w:w="259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Live Intelligence RAG Stream</w:t>
            </w:r>
          </w:p>
        </w:tc>
        <w:tc>
          <w:tcPr>
            <w:tcW w:type="dxa" w:w="388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INR 1,200 / workspace / month</w:t>
            </w:r>
          </w:p>
        </w:tc>
        <w:tc>
          <w:tcPr>
            <w:tcW w:type="dxa" w:w="288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Instant regulatory update analysis logs</w:t>
            </w:r>
          </w:p>
        </w:tc>
      </w:tr>
    </w:tbl>
    <w:p>
      <w:pPr>
        <w:spacing w:after="120"/>
      </w:pPr>
    </w:p>
    <w:p>
      <w:pPr>
        <w:keepNext/>
        <w:spacing w:before="400" w:after="160"/>
      </w:pPr>
      <w:r>
        <w:rPr>
          <w:rFonts w:ascii="Arial" w:hAnsi="Arial"/>
          <w:b/>
          <w:color w:val="0F172A"/>
          <w:sz w:val="30"/>
        </w:rPr>
        <w:t>7. Unit Economics &amp; Revenue Predictability Model</w:t>
      </w:r>
    </w:p>
    <w:p>
      <w:pPr>
        <w:keepNext/>
        <w:spacing w:before="280" w:after="120"/>
      </w:pPr>
      <w:r>
        <w:rPr>
          <w:rFonts w:ascii="Arial" w:hAnsi="Arial"/>
          <w:b/>
          <w:color w:val="475569"/>
          <w:sz w:val="24"/>
        </w:rPr>
        <w:t>7.1 Targeted Long-Term Metrics Baseline Strategy</w:t>
      </w:r>
    </w:p>
    <w:p>
      <w:pPr>
        <w:pStyle w:val="ListBullet"/>
        <w:spacing w:after="80"/>
      </w:pPr>
      <w:r>
        <w:rPr>
          <w:b/>
        </w:rPr>
        <w:t xml:space="preserve">Net Revenue Retention (NRR): </w:t>
      </w:r>
      <w:r>
        <w:t>Targeting &gt; 125% by Year 2, driven by automated cross-entity expansion paths and metered extraction upgrades.</w:t>
      </w:r>
    </w:p>
    <w:p>
      <w:pPr>
        <w:pStyle w:val="ListBullet"/>
        <w:spacing w:after="80"/>
      </w:pPr>
      <w:r>
        <w:rPr>
          <w:b/>
        </w:rPr>
        <w:t xml:space="preserve">SaaS Gross Margins: </w:t>
      </w:r>
      <w:r>
        <w:t>Maintaining &gt; 80% margins by optimizing data pipelines, caching common queries, and fine-tuning lightweight local parsing models.</w:t>
      </w:r>
    </w:p>
    <w:p>
      <w:pPr>
        <w:pStyle w:val="ListBullet"/>
        <w:spacing w:after="80"/>
      </w:pPr>
      <w:r>
        <w:rPr>
          <w:b/>
        </w:rPr>
        <w:t xml:space="preserve">LTV / CAC Ratio Efficiency: </w:t>
      </w:r>
      <w:r>
        <w:t>Targeting a 4.5x ratio by scaling organic acquisition loops through accounting networks.</w:t>
      </w:r>
    </w:p>
    <w:p>
      <w:pPr>
        <w:keepNext/>
        <w:spacing w:before="280" w:after="120"/>
      </w:pPr>
      <w:r>
        <w:rPr>
          <w:rFonts w:ascii="Arial" w:hAnsi="Arial"/>
          <w:b/>
          <w:color w:val="475569"/>
          <w:sz w:val="24"/>
        </w:rPr>
        <w:t>7.2 SaaS Operational Metrics Framework</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60" w:type="dxa"/>
              <w:right w:w="160" w:type="dxa"/>
            </w:tcMar>
            <w:tcBorders>
              <w:top w:val="single" w:sz="8" w:space="0" w:color="475569"/>
              <w:bottom w:val="single" w:sz="8" w:space="0" w:color="475569"/>
              <w:left w:val="single" w:sz="8" w:space="0" w:color="475569"/>
              <w:right w:val="single" w:sz="8" w:space="0" w:color="475569"/>
            </w:tcBorders>
          </w:tcPr>
          <w:p>
            <w:pPr>
              <w:spacing w:after="0" w:line="240" w:lineRule="auto"/>
            </w:pPr>
            <w:r>
              <w:rPr>
                <w:rFonts w:ascii="Courier New" w:hAnsi="Courier New"/>
                <w:color w:val="F1F5F9"/>
                <w:sz w:val="17"/>
              </w:rPr>
              <w:t>+-----------------------------------------------------------------------+</w:t>
              <w:br/>
              <w:t>|                       REVENUE STABILITY ENGINE                        |</w:t>
              <w:br/>
              <w:t>+-----------------------------------------------------------------------+</w:t>
              <w:br/>
              <w:t>|  [Filing Ratios]       --&gt; Continuous compliance creates ARR stability |</w:t>
              <w:br/>
              <w:t>|  [Data Lock-In]        --&gt; Historical doc archives lower client churn  |</w:t>
              <w:br/>
              <w:t>|  [Network Expansion]   --&gt; Active CAs pull downstream SMB clients in   |</w:t>
              <w:br/>
              <w:t>+-----------------------------------------------------------------------+</w:t>
            </w:r>
          </w:p>
        </w:tc>
      </w:tr>
    </w:tbl>
    <w:p>
      <w:pPr>
        <w:spacing w:before="0" w:after="120"/>
      </w:pPr>
    </w:p>
    <w:p>
      <w:pPr>
        <w:keepNext/>
        <w:spacing w:before="400" w:after="160"/>
      </w:pPr>
      <w:r>
        <w:rPr>
          <w:rFonts w:ascii="Arial" w:hAnsi="Arial"/>
          <w:b/>
          <w:color w:val="0F172A"/>
          <w:sz w:val="30"/>
        </w:rPr>
        <w:t>8. Distribution Channel &amp; Go-To-Market Strategy</w:t>
      </w:r>
    </w:p>
    <w:p>
      <w:r>
        <w:t>The platform expansion plan combines targeted product-led growth with organic B2B partner distribution flywheels.</w:t>
      </w:r>
    </w:p>
    <w:p>
      <w:pPr>
        <w:keepNext/>
        <w:spacing w:before="280" w:after="120"/>
      </w:pPr>
      <w:r>
        <w:rPr>
          <w:rFonts w:ascii="Arial" w:hAnsi="Arial"/>
          <w:b/>
          <w:color w:val="475569"/>
          <w:sz w:val="24"/>
        </w:rPr>
        <w:t>8.1 The CA Acquisition Flywheel Blueprint</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60" w:type="dxa"/>
              <w:right w:w="160" w:type="dxa"/>
            </w:tcMar>
            <w:tcBorders>
              <w:top w:val="single" w:sz="8" w:space="0" w:color="475569"/>
              <w:bottom w:val="single" w:sz="8" w:space="0" w:color="475569"/>
              <w:left w:val="single" w:sz="8" w:space="0" w:color="475569"/>
              <w:right w:val="single" w:sz="8" w:space="0" w:color="475569"/>
            </w:tcBorders>
          </w:tcPr>
          <w:p>
            <w:pPr>
              <w:spacing w:after="0" w:line="240" w:lineRule="auto"/>
            </w:pPr>
            <w:r>
              <w:rPr>
                <w:rFonts w:ascii="Courier New" w:hAnsi="Courier New"/>
                <w:color w:val="F1F5F9"/>
                <w:sz w:val="17"/>
              </w:rPr>
              <w:t>[Deploy Free Premium CA Workspace Platform] ---&gt; [Accounting Networks Adopt Dashboard Setup]</w:t>
              <w:br/>
              <w:t xml:space="preserve">                                                               |</w:t>
              <w:br/>
              <w:t xml:space="preserve">                                                               v</w:t>
              <w:br/>
              <w:t xml:space="preserve"> [Downstream Clients Pull Inbound Assets] &lt;--- [Corporate Clients Invited to Direct Nodes]</w:t>
              <w:br/>
              <w:t xml:space="preserve">                               |</w:t>
              <w:br/>
              <w:t xml:space="preserve">                               v</w:t>
              <w:br/>
              <w:t xml:space="preserve"> [Paid Premium Automation Add-Ons Activated] ---&gt; [Ecosystem Subscription MRR Scales Up]</w:t>
            </w:r>
          </w:p>
        </w:tc>
      </w:tr>
    </w:tbl>
    <w:p>
      <w:pPr>
        <w:spacing w:before="0" w:after="120"/>
      </w:pPr>
    </w:p>
    <w:p>
      <w:pPr>
        <w:keepNext/>
        <w:spacing w:before="280" w:after="120"/>
      </w:pPr>
      <w:r>
        <w:rPr>
          <w:rFonts w:ascii="Arial" w:hAnsi="Arial"/>
          <w:b/>
          <w:color w:val="475569"/>
          <w:sz w:val="24"/>
        </w:rPr>
        <w:t>8.2 Public Growth &amp; Launch Blueprints</w:t>
      </w:r>
    </w:p>
    <w:p>
      <w:pPr>
        <w:pStyle w:val="ListBullet"/>
        <w:spacing w:after="80"/>
      </w:pPr>
      <w:r>
        <w:rPr>
          <w:b/>
        </w:rPr>
        <w:t xml:space="preserve">Product-Led Growth (PLG): </w:t>
      </w:r>
      <w:r>
        <w:t>Distributes specialized data-matching and lookup utilities across community hubs to drive organic product awareness.</w:t>
      </w:r>
    </w:p>
    <w:p>
      <w:pPr>
        <w:pStyle w:val="ListBullet"/>
        <w:spacing w:after="80"/>
      </w:pPr>
      <w:r>
        <w:rPr>
          <w:b/>
        </w:rPr>
        <w:t xml:space="preserve">Product Hunt &amp; Launch Framework: </w:t>
      </w:r>
      <w:r>
        <w:t>Launches targeted utility components on developer discovery channels to showcase underlying execution capabilities.</w:t>
      </w:r>
    </w:p>
    <w:p>
      <w:pPr>
        <w:pStyle w:val="ListBullet"/>
        <w:spacing w:after="80"/>
      </w:pPr>
      <w:r>
        <w:rPr>
          <w:b/>
        </w:rPr>
        <w:t xml:space="preserve">Founder-Led Content Loops: </w:t>
      </w:r>
      <w:r>
        <w:t>Publishes clear technical design breakdowns and engineering insights to build credibility among developer communities.</w:t>
      </w:r>
    </w:p>
    <w:p>
      <w:pPr>
        <w:keepNext/>
        <w:spacing w:before="400" w:after="160"/>
      </w:pPr>
      <w:r>
        <w:rPr>
          <w:rFonts w:ascii="Arial" w:hAnsi="Arial"/>
          <w:b/>
          <w:color w:val="0F172A"/>
          <w:sz w:val="30"/>
        </w:rPr>
        <w:t>9. Revenue Moat &amp; Defensive Pricing Analysis</w:t>
      </w:r>
    </w:p>
    <w:p>
      <w:r>
        <w:t>DeadlineOS positions itself as a central workflow orchestrator rather than a standard storage repository, ensuring high switching barriers.</w:t>
      </w:r>
    </w:p>
    <w:p>
      <w:pPr>
        <w:pStyle w:val="ListBullet"/>
        <w:spacing w:after="80"/>
      </w:pPr>
      <w:r>
        <w:rPr>
          <w:b/>
        </w:rPr>
        <w:t xml:space="preserve">Systemic Displacement Barriers: </w:t>
      </w:r>
      <w:r>
        <w:t>Migrating compliance history logs, historical tax receipts, and active validation rulesets introduces high corporate displacement costs.</w:t>
      </w:r>
    </w:p>
    <w:p>
      <w:pPr>
        <w:pStyle w:val="ListBullet"/>
        <w:spacing w:after="80"/>
      </w:pPr>
      <w:r>
        <w:rPr>
          <w:b/>
        </w:rPr>
        <w:t xml:space="preserve">AI Data Optimization Loops: </w:t>
      </w:r>
      <w:r>
        <w:t>Every processed invoice, analyzed tax notice, and manual adjustment action refines model parsing accuracy, widening the defensibility gap over new market entries.</w:t>
      </w:r>
    </w:p>
    <w:p>
      <w:pPr>
        <w:pStyle w:val="ListBullet"/>
        <w:spacing w:after="80"/>
      </w:pPr>
      <w:r>
        <w:rPr>
          <w:b/>
        </w:rPr>
        <w:t xml:space="preserve">Workflow Integration Lock-In: </w:t>
      </w:r>
      <w:r>
        <w:t>Deep product integration across partner networks ensures long-term operational retention, shielding the platform from price-cutting pressure.</w:t>
      </w:r>
    </w:p>
    <w:p>
      <w:pPr>
        <w:keepNext/>
        <w:spacing w:before="400" w:after="160"/>
      </w:pPr>
      <w:r>
        <w:rPr>
          <w:rFonts w:ascii="Arial" w:hAnsi="Arial"/>
          <w:b/>
          <w:color w:val="0F172A"/>
          <w:sz w:val="30"/>
        </w:rPr>
        <w:t>10. Revenue Scaling Roadmap</w:t>
      </w:r>
    </w:p>
    <w:p>
      <w:pPr>
        <w:keepNext/>
        <w:spacing w:before="280" w:after="120"/>
      </w:pPr>
      <w:r>
        <w:rPr>
          <w:rFonts w:ascii="Arial" w:hAnsi="Arial"/>
          <w:b/>
          <w:color w:val="475569"/>
          <w:sz w:val="24"/>
        </w:rPr>
        <w:t>10.1 Strategic Financial Trajectory Roadmap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Financial Planning Milestone</w:t>
            </w:r>
          </w:p>
        </w:tc>
        <w:tc>
          <w:tcPr>
            <w:tcW w:type="dxa" w:w="172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Target MRR (USD Equiv)</w:t>
            </w:r>
          </w:p>
        </w:tc>
        <w:tc>
          <w:tcPr>
            <w:tcW w:type="dxa" w:w="331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Primary Product Driver Elements</w:t>
            </w:r>
          </w:p>
        </w:tc>
        <w:tc>
          <w:tcPr>
            <w:tcW w:type="dxa" w:w="244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Channel Expansion Priorities</w:t>
            </w:r>
          </w:p>
        </w:tc>
      </w:tr>
      <w:tr>
        <w:tc>
          <w:tcPr>
            <w:tcW w:type="dxa" w:w="187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Year 1 — Foundation</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$45,000 / Month</w:t>
            </w:r>
          </w:p>
        </w:tc>
        <w:tc>
          <w:tcPr>
            <w:tcW w:type="dxa" w:w="331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Core B2B subscription adoption, standard metered ingestion blocks</w:t>
            </w:r>
          </w:p>
        </w:tc>
        <w:tc>
          <w:tcPr>
            <w:tcW w:type="dxa" w:w="244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Onboard 1,200 CA firm partners organically</w:t>
            </w:r>
          </w:p>
        </w:tc>
      </w:tr>
      <w:tr>
        <w:tc>
          <w:tcPr>
            <w:tcW w:type="dxa" w:w="187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Year 2 — Intelligence</w:t>
            </w:r>
          </w:p>
        </w:tc>
        <w:tc>
          <w:tcPr>
            <w:tcW w:type="dxa" w:w="17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$180,000 / Month</w:t>
            </w:r>
          </w:p>
        </w:tc>
        <w:tc>
          <w:tcPr>
            <w:tcW w:type="dxa" w:w="331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Metered API releases, advanced workflow add-ons, risk analysis tiers</w:t>
            </w:r>
          </w:p>
        </w:tc>
        <w:tc>
          <w:tcPr>
            <w:tcW w:type="dxa" w:w="244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Deploy developer ecosystem gateways</w:t>
            </w:r>
          </w:p>
        </w:tc>
      </w:tr>
      <w:tr>
        <w:tc>
          <w:tcPr>
            <w:tcW w:type="dxa" w:w="187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Year 3 — Platform</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$650,000 / Month</w:t>
            </w:r>
          </w:p>
        </w:tc>
        <w:tc>
          <w:tcPr>
            <w:tcW w:type="dxa" w:w="331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Multi-entity enterprise grids, multi-region launch packages, bank connectivity</w:t>
            </w:r>
          </w:p>
        </w:tc>
        <w:tc>
          <w:tcPr>
            <w:tcW w:type="dxa" w:w="244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Expand into Singapore and UAE regional hubs</w:t>
            </w:r>
          </w:p>
        </w:tc>
      </w:tr>
    </w:tbl>
    <w:p>
      <w:pPr>
        <w:spacing w:after="120"/>
      </w:pPr>
    </w:p>
    <w:p>
      <w:pPr>
        <w:keepNext/>
        <w:spacing w:before="280" w:after="120"/>
      </w:pPr>
      <w:r>
        <w:rPr>
          <w:rFonts w:ascii="Arial" w:hAnsi="Arial"/>
          <w:b/>
          <w:color w:val="475569"/>
          <w:sz w:val="24"/>
        </w:rPr>
        <w:t>10.2 Future Financial Horizons Blueprint</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60" w:type="dxa"/>
              <w:right w:w="160" w:type="dxa"/>
            </w:tcMar>
            <w:tcBorders>
              <w:top w:val="single" w:sz="8" w:space="0" w:color="475569"/>
              <w:bottom w:val="single" w:sz="8" w:space="0" w:color="475569"/>
              <w:left w:val="single" w:sz="8" w:space="0" w:color="475569"/>
              <w:right w:val="single" w:sz="8" w:space="0" w:color="475569"/>
            </w:tcBorders>
          </w:tcPr>
          <w:p>
            <w:pPr>
              <w:spacing w:after="0" w:line="240" w:lineRule="auto"/>
            </w:pPr>
            <w:r>
              <w:rPr>
                <w:rFonts w:ascii="Courier New" w:hAnsi="Courier New"/>
                <w:color w:val="F1F5F9"/>
                <w:sz w:val="17"/>
              </w:rPr>
              <w:t>[Phase 1: Pure-Play SaaS Subscriptions] ---&gt; [Phase 2: High-Margin API Data Processing Usage]</w:t>
              <w:br/>
              <w:t xml:space="preserve">                                                     |</w:t>
              <w:br/>
              <w:t xml:space="preserve">                                                     v</w:t>
              <w:br/>
              <w:t>[Phase 4: Global Multi-Region Network Infrastructure] &lt;--- [Phase 3: Embedded Fintech Integrations]</w:t>
            </w:r>
          </w:p>
        </w:tc>
      </w:tr>
    </w:tbl>
    <w:p>
      <w:pPr>
        <w:spacing w:before="0" w:after="120"/>
      </w:pPr>
    </w:p>
    <w:p>
      <w:pPr>
        <w:keepNext/>
        <w:spacing w:before="400" w:after="160"/>
      </w:pPr>
      <w:r>
        <w:rPr>
          <w:rFonts w:ascii="Arial" w:hAnsi="Arial"/>
          <w:b/>
          <w:color w:val="0F172A"/>
          <w:sz w:val="30"/>
        </w:rPr>
        <w:t>11. Risk Management &amp; Business Mitigation</w:t>
      </w:r>
    </w:p>
    <w:p>
      <w:pPr>
        <w:keepNext/>
        <w:spacing w:before="280" w:after="120"/>
      </w:pPr>
      <w:r>
        <w:rPr>
          <w:rFonts w:ascii="Arial" w:hAnsi="Arial"/>
          <w:b/>
          <w:color w:val="475569"/>
          <w:sz w:val="24"/>
        </w:rPr>
        <w:t>11.1 Strategic Business Risk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Identified Strategic Business Risk</w:t>
            </w:r>
          </w:p>
        </w:tc>
        <w:tc>
          <w:tcPr>
            <w:tcW w:type="dxa" w:w="144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Impact Level</w:t>
            </w:r>
          </w:p>
        </w:tc>
        <w:tc>
          <w:tcPr>
            <w:tcW w:type="dxa" w:w="532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Revenue Operations Architecture Mitigation Response</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Platform Monetization Pushback from CAs</w:t>
            </w:r>
          </w:p>
        </w:tc>
        <w:tc>
          <w:tcPr>
            <w:tcW w:type="dxa" w:w="144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Medium</w:t>
            </w:r>
          </w:p>
        </w:tc>
        <w:tc>
          <w:tcPr>
            <w:tcW w:type="dxa" w:w="53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Maintain the core partner workspace dashboard as a free layer, focusing monetization on downstream client parsing volumes.</w:t>
            </w:r>
          </w:p>
        </w:tc>
      </w:tr>
      <w:tr>
        <w:tc>
          <w:tcPr>
            <w:tcW w:type="dxa" w:w="259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Shifting Regulatory Endpoint Interfaces</w:t>
            </w:r>
          </w:p>
        </w:tc>
        <w:tc>
          <w:tcPr>
            <w:tcW w:type="dxa" w:w="144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High</w:t>
            </w:r>
          </w:p>
        </w:tc>
        <w:tc>
          <w:tcPr>
            <w:tcW w:type="dxa" w:w="53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Deploy monitoring tasks that track structural changes early, ensuring parsing pipelines update before breaking user flows.</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API Ingestion Operating Margin Compression</w:t>
            </w:r>
          </w:p>
        </w:tc>
        <w:tc>
          <w:tcPr>
            <w:tcW w:type="dxa" w:w="144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Medium</w:t>
            </w:r>
          </w:p>
        </w:tc>
        <w:tc>
          <w:tcPr>
            <w:tcW w:type="dxa" w:w="53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Fine-tune lightweight localized language models for high-volume parsing steps, minimizing reliance on costly third-party API calls.</w:t>
            </w:r>
          </w:p>
        </w:tc>
      </w:tr>
    </w:tbl>
    <w:p>
      <w:pPr>
        <w:spacing w:after="120"/>
      </w:pPr>
    </w:p>
    <w:p>
      <w:pPr>
        <w:keepNext/>
        <w:spacing w:before="280" w:after="120"/>
      </w:pPr>
      <w:r>
        <w:rPr>
          <w:rFonts w:ascii="Arial" w:hAnsi="Arial"/>
          <w:b/>
          <w:color w:val="475569"/>
          <w:sz w:val="24"/>
        </w:rPr>
        <w:t>11.2 Suggested Business Documentation Repository Structure</w:t>
      </w:r>
    </w:p>
    <w:p>
      <w:r>
        <w:t>To assist business operations teams during strategic onboarding and revenue scaling reviews, product monetization assets should be organized using the following clean repository layout:</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60" w:type="dxa"/>
              <w:right w:w="160" w:type="dxa"/>
            </w:tcMar>
            <w:tcBorders>
              <w:top w:val="single" w:sz="8" w:space="0" w:color="475569"/>
              <w:bottom w:val="single" w:sz="8" w:space="0" w:color="475569"/>
              <w:left w:val="single" w:sz="8" w:space="0" w:color="475569"/>
              <w:right w:val="single" w:sz="8" w:space="0" w:color="475569"/>
            </w:tcBorders>
          </w:tcPr>
          <w:p>
            <w:pPr>
              <w:spacing w:after="0" w:line="240" w:lineRule="auto"/>
            </w:pPr>
            <w:r>
              <w:rPr>
                <w:rFonts w:ascii="Courier New" w:hAnsi="Courier New"/>
                <w:color w:val="F1F5F9"/>
                <w:sz w:val="17"/>
              </w:rPr>
              <w:t>deadlineos-monetization-strategy/</w:t>
              <w:br/>
              <w:t>├── README.md                           # Revenue strategy master entry document</w:t>
              <w:br/>
              <w:t>├── pricing-frameworks/                 # Active subscription and bundle matrices</w:t>
              <w:br/>
              <w:t>│   ├── tier-packaging-spec.json</w:t>
              <w:br/>
              <w:t>│   └── metered-ingestion-pricing.md</w:t>
              <w:br/>
              <w:t>├── channel-partnerships/               # CA program and distribution files</w:t>
              <w:br/>
              <w:t>│   ├── partner-incentive-guide.md</w:t>
              <w:br/>
              <w:t>│   └── firm-onboarding-playbook.md</w:t>
              <w:br/>
              <w:t>├── unit-economics/                     # Financial health and projection files</w:t>
              <w:br/>
              <w:t>│   ├── baseline-saas-metrics.xlsx</w:t>
              <w:br/>
              <w:t>│   └── three-year-growth-forecast.json</w:t>
              <w:br/>
              <w:t>└── global-monetization/                # International pricing configurations</w:t>
              <w:br/>
              <w:t xml:space="preserve">    ├── singapore-pricing-structure.md</w:t>
              <w:br/>
              <w:t xml:space="preserve">    └── UAE-vat-tier-blueprint.md</w:t>
            </w:r>
          </w:p>
        </w:tc>
      </w:tr>
    </w:tbl>
    <w:p>
      <w:pPr>
        <w:spacing w:before="0" w:after="120"/>
      </w:pPr>
    </w:p>
    <w:p>
      <w:pPr>
        <w:keepNext/>
        <w:spacing w:before="400" w:after="160"/>
      </w:pPr>
      <w:r>
        <w:rPr>
          <w:rFonts w:ascii="Arial" w:hAnsi="Arial"/>
          <w:b/>
          <w:color w:val="0F172A"/>
          <w:sz w:val="30"/>
        </w:rPr>
        <w:t>12. Conclusion &amp; Final Revenue Strategy Summary</w:t>
      </w:r>
    </w:p>
    <w:p>
      <w:r>
        <w:t>DeadlineOS builds a highly defensive business engine by anchoring its monetization model within the core operational workflows of Indian compliance execution. Leveraging Chartered Accountant partnerships creates a low-cost distribution channel that naturally draws downstream business accounts onto the platform. This workflow-first approach establishes an enduring operational lock-in. As transactional data compounds over multiple filing cycles, DeadlineOS secures highly predictable recurring ARR, establishing itself as the premier compliance automation layer for scaling enterprise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