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pPr>
    </w:p>
    <w:p>
      <w:r>
        <w:rPr>
          <w:rFonts w:ascii="Segoe UI" w:hAnsi="Segoe UI"/>
          <w:b/>
          <w:color w:val="0284C7"/>
          <w:sz w:val="20"/>
        </w:rPr>
        <w:t>ENTERPRISE ENGINEERING &amp; SDLC DOCUMENTATION</w:t>
      </w:r>
    </w:p>
    <w:p>
      <w:pPr>
        <w:spacing w:after="80"/>
      </w:pPr>
      <w:r>
        <w:rPr>
          <w:rFonts w:ascii="Segoe UI" w:hAnsi="Segoe UI"/>
          <w:b/>
          <w:color w:val="0F172A"/>
          <w:sz w:val="80"/>
        </w:rPr>
        <w:t>DeadlineOS</w:t>
      </w:r>
    </w:p>
    <w:p>
      <w:pPr>
        <w:spacing w:after="3200"/>
      </w:pPr>
      <w:r>
        <w:rPr>
          <w:rFonts w:ascii="Segoe UI" w:hAnsi="Segoe UI"/>
          <w:color w:val="475569"/>
          <w:sz w:val="28"/>
        </w:rPr>
        <w:t>Software Development Life Cycle &amp; System Runbook</w:t>
        <w:br/>
        <w:t>AI-Native Compliance Operating System for Indian SMBs</w:t>
      </w:r>
    </w:p>
    <w:tbl>
      <w:tblPr>
        <w:tblW w:type="auto" w:w="0"/>
        <w:jc w:val="left"/>
        <w:tblLook w:firstColumn="1" w:firstRow="1" w:lastColumn="0" w:lastRow="0" w:noHBand="0" w:noVBand="1" w:val="04A0"/>
      </w:tblPr>
      <w:tblGrid>
        <w:gridCol w:w="4514"/>
        <w:gridCol w:w="4514"/>
      </w:tblGrid>
      <w:tr>
        <w:tc>
          <w:tcPr>
            <w:tcW w:type="dxa" w:w="3168"/>
          </w:tcPr>
          <w:p>
            <w:pPr>
              <w:spacing w:after="40"/>
            </w:pPr>
            <w:r>
              <w:rPr>
                <w:rFonts w:ascii="Segoe UI" w:hAnsi="Segoe UI"/>
                <w:b/>
                <w:color w:val="64748B"/>
                <w:sz w:val="19"/>
              </w:rPr>
              <w:t>Release Version:</w:t>
            </w:r>
          </w:p>
        </w:tc>
        <w:tc>
          <w:tcPr>
            <w:tcW w:type="dxa" w:w="6192"/>
          </w:tcPr>
          <w:p>
            <w:pPr>
              <w:spacing w:after="40"/>
            </w:pPr>
            <w:r>
              <w:rPr>
                <w:rFonts w:ascii="Segoe UI" w:hAnsi="Segoe UI"/>
                <w:color w:val="0F172A"/>
                <w:sz w:val="19"/>
              </w:rPr>
              <w:t>v1.1.4-RELEASE</w:t>
            </w:r>
          </w:p>
        </w:tc>
      </w:tr>
      <w:tr>
        <w:tc>
          <w:tcPr>
            <w:tcW w:type="dxa" w:w="3168"/>
          </w:tcPr>
          <w:p>
            <w:pPr>
              <w:spacing w:after="40"/>
            </w:pPr>
            <w:r>
              <w:rPr>
                <w:rFonts w:ascii="Segoe UI" w:hAnsi="Segoe UI"/>
                <w:b/>
                <w:color w:val="64748B"/>
                <w:sz w:val="19"/>
              </w:rPr>
              <w:t>Target Cluster:</w:t>
            </w:r>
          </w:p>
        </w:tc>
        <w:tc>
          <w:tcPr>
            <w:tcW w:type="dxa" w:w="6192"/>
          </w:tcPr>
          <w:p>
            <w:pPr>
              <w:spacing w:after="40"/>
            </w:pPr>
            <w:r>
              <w:rPr>
                <w:rFonts w:ascii="Segoe UI" w:hAnsi="Segoe UI"/>
                <w:color w:val="0F172A"/>
                <w:sz w:val="19"/>
              </w:rPr>
              <w:t>Render Production Infrastructure (LIVE_URL_HERE)</w:t>
            </w:r>
          </w:p>
        </w:tc>
      </w:tr>
      <w:tr>
        <w:tc>
          <w:tcPr>
            <w:tcW w:type="dxa" w:w="3168"/>
          </w:tcPr>
          <w:p>
            <w:pPr>
              <w:spacing w:after="40"/>
            </w:pPr>
            <w:r>
              <w:rPr>
                <w:rFonts w:ascii="Segoe UI" w:hAnsi="Segoe UI"/>
                <w:b/>
                <w:color w:val="64748B"/>
                <w:sz w:val="19"/>
              </w:rPr>
              <w:t>Principal Architect:</w:t>
            </w:r>
          </w:p>
        </w:tc>
        <w:tc>
          <w:tcPr>
            <w:tcW w:type="dxa" w:w="6192"/>
          </w:tcPr>
          <w:p>
            <w:pPr>
              <w:spacing w:after="40"/>
            </w:pPr>
            <w:r>
              <w:rPr>
                <w:rFonts w:ascii="Segoe UI" w:hAnsi="Segoe UI"/>
                <w:color w:val="0F172A"/>
                <w:sz w:val="19"/>
              </w:rPr>
              <w:t>Technical Program Manager &amp; Lead Dev Architect</w:t>
            </w:r>
          </w:p>
        </w:tc>
      </w:tr>
      <w:tr>
        <w:tc>
          <w:tcPr>
            <w:tcW w:type="dxa" w:w="3168"/>
          </w:tcPr>
          <w:p>
            <w:pPr>
              <w:spacing w:after="40"/>
            </w:pPr>
            <w:r>
              <w:rPr>
                <w:rFonts w:ascii="Segoe UI" w:hAnsi="Segoe UI"/>
                <w:b/>
                <w:color w:val="64748B"/>
                <w:sz w:val="19"/>
              </w:rPr>
              <w:t>Confidentiality:</w:t>
            </w:r>
          </w:p>
        </w:tc>
        <w:tc>
          <w:tcPr>
            <w:tcW w:type="dxa" w:w="6192"/>
          </w:tcPr>
          <w:p>
            <w:pPr>
              <w:spacing w:after="40"/>
            </w:pPr>
            <w:r>
              <w:rPr>
                <w:rFonts w:ascii="Segoe UI" w:hAnsi="Segoe UI"/>
                <w:color w:val="0F172A"/>
                <w:sz w:val="19"/>
              </w:rPr>
              <w:t>Restricted Internal Engineering Access Only</w:t>
            </w:r>
          </w:p>
        </w:tc>
      </w:tr>
      <w:tr>
        <w:tc>
          <w:tcPr>
            <w:tcW w:type="dxa" w:w="3168"/>
          </w:tcPr>
          <w:p>
            <w:pPr>
              <w:spacing w:after="40"/>
            </w:pPr>
            <w:r>
              <w:rPr>
                <w:rFonts w:ascii="Segoe UI" w:hAnsi="Segoe UI"/>
                <w:b/>
                <w:color w:val="64748B"/>
                <w:sz w:val="19"/>
              </w:rPr>
              <w:t>System Date:</w:t>
            </w:r>
          </w:p>
        </w:tc>
        <w:tc>
          <w:tcPr>
            <w:tcW w:type="dxa" w:w="6192"/>
          </w:tcPr>
          <w:p>
            <w:pPr>
              <w:spacing w:after="40"/>
            </w:pPr>
            <w:r>
              <w:rPr>
                <w:rFonts w:ascii="Segoe UI" w:hAnsi="Segoe UI"/>
                <w:color w:val="0F172A"/>
                <w:sz w:val="19"/>
              </w:rPr>
              <w:t>May 23, 2026</w:t>
            </w:r>
          </w:p>
        </w:tc>
      </w:tr>
    </w:tbl>
    <w:p>
      <w:r>
        <w:br w:type="page"/>
      </w:r>
    </w:p>
    <w:p>
      <w:pPr>
        <w:keepNext/>
        <w:spacing w:before="480" w:after="240"/>
      </w:pPr>
      <w:r>
        <w:rPr>
          <w:rFonts w:ascii="Segoe UI" w:hAnsi="Segoe UI"/>
          <w:b/>
          <w:color w:val="0F172A"/>
          <w:sz w:val="40"/>
        </w:rPr>
        <w:t>1. Executive Overview &amp; Product Context</w:t>
      </w:r>
    </w:p>
    <w:p>
      <w:pPr>
        <w:spacing w:after="200" w:line="276" w:lineRule="auto"/>
      </w:pPr>
      <w:r>
        <w:rPr>
          <w:rFonts w:ascii="Segoe UI" w:hAnsi="Segoe UI"/>
          <w:i w:val="0"/>
          <w:color w:val="334155"/>
          <w:sz w:val="20"/>
        </w:rPr>
        <w:t>DeadlineOS is a production-deployed, enterprise-grade, AI-native Compliance Operating System designed specifically for Indian Small and Medium Businesses (SMBs) and multi-entity operators. The platform serves as an operational system of record for compliance execution, automating the parsing, orchestration, tracking, and validation of tax and statutory filings across central and state-level jurisdictions.</w:t>
      </w:r>
    </w:p>
    <w:p>
      <w:pPr>
        <w:spacing w:after="200" w:line="276" w:lineRule="auto"/>
      </w:pPr>
      <w:r>
        <w:rPr>
          <w:rFonts w:ascii="Segoe UI" w:hAnsi="Segoe UI"/>
          <w:b/>
          <w:color w:val="0F172A"/>
          <w:sz w:val="20"/>
        </w:rPr>
        <w:t xml:space="preserve">Explicit Platform Separation: </w:t>
      </w:r>
      <w:r>
        <w:rPr>
          <w:rFonts w:ascii="Segoe UI" w:hAnsi="Segoe UI"/>
          <w:i w:val="0"/>
          <w:color w:val="334155"/>
          <w:sz w:val="20"/>
        </w:rPr>
        <w:t>DeadlineOS is fundamentally distinct from productivity tools, task management apps, or generic dashboards. Every core module, data pipeline, and system workflow is engineered to enforce Indian corporate compliance compliance parameters, bridging the tracking gap between internal financial managers and partner Chartered Accountants (CAs).</w:t>
      </w:r>
    </w:p>
    <w:p>
      <w:pPr>
        <w:keepNext/>
        <w:spacing w:before="320" w:after="160"/>
      </w:pPr>
      <w:r>
        <w:rPr>
          <w:rFonts w:ascii="Segoe UI" w:hAnsi="Segoe UI"/>
          <w:b/>
          <w:color w:val="0284C7"/>
          <w:sz w:val="28"/>
        </w:rPr>
        <w:t>1.1 Product Vision &amp; High-Level Objectives</w:t>
      </w:r>
    </w:p>
    <w:p>
      <w:pPr>
        <w:pStyle w:val="ListBullet"/>
        <w:spacing w:after="80" w:line="276" w:lineRule="auto"/>
      </w:pPr>
      <w:r>
        <w:rPr>
          <w:rFonts w:ascii="Segoe UI" w:hAnsi="Segoe UI"/>
          <w:b/>
          <w:color w:val="0F172A"/>
          <w:sz w:val="20"/>
        </w:rPr>
        <w:t xml:space="preserve">Preventative Automation: </w:t>
      </w:r>
      <w:r>
        <w:rPr>
          <w:rFonts w:ascii="Segoe UI" w:hAnsi="Segoe UI"/>
          <w:color w:val="334155"/>
          <w:sz w:val="20"/>
        </w:rPr>
        <w:t>Build the structural compliance engine of record for Indian business operations, turning unorganized data tracking paths into automated filing queues.</w:t>
      </w:r>
    </w:p>
    <w:p>
      <w:pPr>
        <w:pStyle w:val="ListBullet"/>
        <w:spacing w:after="80" w:line="276" w:lineRule="auto"/>
      </w:pPr>
      <w:r>
        <w:rPr>
          <w:rFonts w:ascii="Segoe UI" w:hAnsi="Segoe UI"/>
          <w:b/>
          <w:color w:val="0F172A"/>
          <w:sz w:val="20"/>
        </w:rPr>
        <w:t xml:space="preserve">Frictionless Collaboration: </w:t>
      </w:r>
      <w:r>
        <w:rPr>
          <w:rFonts w:ascii="Segoe UI" w:hAnsi="Segoe UI"/>
          <w:color w:val="334155"/>
          <w:sz w:val="20"/>
        </w:rPr>
        <w:t>Eliminate manual communication drift between corporate promoters and external accounting specialists through clear data readiness checklists.</w:t>
      </w:r>
    </w:p>
    <w:p>
      <w:pPr>
        <w:pStyle w:val="ListBullet"/>
        <w:spacing w:after="80" w:line="276" w:lineRule="auto"/>
      </w:pPr>
      <w:r>
        <w:rPr>
          <w:rFonts w:ascii="Segoe UI" w:hAnsi="Segoe UI"/>
          <w:b/>
          <w:color w:val="0F172A"/>
          <w:sz w:val="20"/>
        </w:rPr>
        <w:t xml:space="preserve">Risk Optimization: </w:t>
      </w:r>
      <w:r>
        <w:rPr>
          <w:rFonts w:ascii="Segoe UI" w:hAnsi="Segoe UI"/>
          <w:color w:val="334155"/>
          <w:sz w:val="20"/>
        </w:rPr>
        <w:t>Mitigate legal overhead and late-fee accumulations by applying predictive tracking metrics over active tax timelines.</w:t>
      </w:r>
    </w:p>
    <w:p>
      <w:pPr>
        <w:keepNext/>
        <w:spacing w:before="320" w:after="160"/>
      </w:pPr>
      <w:r>
        <w:rPr>
          <w:rFonts w:ascii="Segoe UI" w:hAnsi="Segoe UI"/>
          <w:b/>
          <w:color w:val="0284C7"/>
          <w:sz w:val="28"/>
        </w:rPr>
        <w:t>1.2 The Business Problem &amp; Compliance Infrastructure Gaps</w:t>
      </w:r>
    </w:p>
    <w:p>
      <w:pPr>
        <w:spacing w:after="200" w:line="276" w:lineRule="auto"/>
      </w:pPr>
      <w:r>
        <w:rPr>
          <w:rFonts w:ascii="Segoe UI" w:hAnsi="Segoe UI"/>
          <w:i w:val="0"/>
          <w:color w:val="334155"/>
          <w:sz w:val="20"/>
        </w:rPr>
        <w:t>The Indian corporate space contains over 63 million enterprises moving rapidly into digitized systems. However, managing regulatory updates across distinct regimes (such as GST, TDS, ROC, PF, and ESIC) remains heavily fragmented. Businesses rely on manual spreadsheets, ad-hoc WhatsApp communication paths, and memory-based tracking workflows. This fragmentation leaves promoters blind to actual filing progress, resulting in late fees under Section 50 of the CGST Act, statutory interest penalties, and unexpected compliance notices.</w:t>
      </w:r>
    </w:p>
    <w:p>
      <w:pPr>
        <w:keepNext/>
        <w:spacing w:before="480" w:after="240"/>
      </w:pPr>
      <w:r>
        <w:rPr>
          <w:rFonts w:ascii="Segoe UI" w:hAnsi="Segoe UI"/>
          <w:b/>
          <w:color w:val="0F172A"/>
          <w:sz w:val="40"/>
        </w:rPr>
        <w:t>2. Requirement Gathering &amp; System Lifecycle Design</w:t>
      </w:r>
    </w:p>
    <w:p>
      <w:pPr>
        <w:spacing w:after="200" w:line="276" w:lineRule="auto"/>
      </w:pPr>
      <w:r>
        <w:rPr>
          <w:rFonts w:ascii="Segoe UI" w:hAnsi="Segoe UI"/>
          <w:i w:val="0"/>
          <w:color w:val="334155"/>
          <w:sz w:val="20"/>
        </w:rPr>
        <w:t>The system architecture lifecycle prioritized engineering reliability and velocity by pairing high-fidelity domain analysis with AI-accelerated structural planning loops.</w:t>
      </w:r>
    </w:p>
    <w:p>
      <w:pPr>
        <w:keepNext/>
        <w:spacing w:before="320" w:after="160"/>
      </w:pPr>
      <w:r>
        <w:rPr>
          <w:rFonts w:ascii="Segoe UI" w:hAnsi="Segoe UI"/>
          <w:b/>
          <w:color w:val="0284C7"/>
          <w:sz w:val="28"/>
        </w:rPr>
        <w:t>2.1 Functional Architecture Planning</w:t>
      </w:r>
    </w:p>
    <w:p>
      <w:pPr>
        <w:spacing w:after="200" w:line="276" w:lineRule="auto"/>
      </w:pPr>
      <w:r>
        <w:rPr>
          <w:rFonts w:ascii="Segoe UI" w:hAnsi="Segoe UI"/>
          <w:i w:val="0"/>
          <w:color w:val="334155"/>
          <w:sz w:val="20"/>
        </w:rPr>
        <w:t>The system breaks down execution requirements into five distinct system modules:</w:t>
      </w:r>
    </w:p>
    <w:tbl>
      <w:tblPr>
        <w:tblW w:type="auto" w:w="0"/>
        <w:jc w:val="center"/>
        <w:tblLook w:firstColumn="1" w:firstRow="1" w:lastColumn="0" w:lastRow="0" w:noHBand="0" w:noVBand="1" w:val="04A0"/>
      </w:tblPr>
      <w:tblGrid>
        <w:gridCol w:w="3010"/>
        <w:gridCol w:w="3010"/>
        <w:gridCol w:w="3010"/>
      </w:tblGrid>
      <w:tr>
        <w:tc>
          <w:tcPr>
            <w:tcW w:type="dxa" w:w="3010"/>
            <w:shd w:fill="0F172A"/>
            <w:tcMar>
              <w:top w:w="120" w:type="dxa"/>
              <w:bottom w:w="120" w:type="dxa"/>
              <w:left w:w="180" w:type="dxa"/>
              <w:right w:w="180" w:type="dxa"/>
            </w:tcMar>
          </w:tcPr>
          <w:p>
            <w:r>
              <w:rPr>
                <w:b/>
                <w:color w:val="FFFFFF"/>
              </w:rPr>
              <w:t>Functional Core Block</w:t>
            </w:r>
          </w:p>
        </w:tc>
        <w:tc>
          <w:tcPr>
            <w:tcW w:type="dxa" w:w="3010"/>
            <w:shd w:fill="0F172A"/>
            <w:tcMar>
              <w:top w:w="120" w:type="dxa"/>
              <w:bottom w:w="120" w:type="dxa"/>
              <w:left w:w="180" w:type="dxa"/>
              <w:right w:w="180" w:type="dxa"/>
            </w:tcMar>
          </w:tcPr>
          <w:p>
            <w:r>
              <w:rPr>
                <w:b/>
                <w:color w:val="FFFFFF"/>
              </w:rPr>
              <w:t>Technical Objective</w:t>
            </w:r>
          </w:p>
        </w:tc>
        <w:tc>
          <w:tcPr>
            <w:tcW w:type="dxa" w:w="3010"/>
            <w:shd w:fill="0F172A"/>
            <w:tcMar>
              <w:top w:w="120" w:type="dxa"/>
              <w:bottom w:w="120" w:type="dxa"/>
              <w:left w:w="180" w:type="dxa"/>
              <w:right w:w="180" w:type="dxa"/>
            </w:tcMar>
          </w:tcPr>
          <w:p>
            <w:r>
              <w:rPr>
                <w:b/>
                <w:color w:val="FFFFFF"/>
              </w:rPr>
              <w:t>Production Core Engine</w:t>
            </w:r>
          </w:p>
        </w:tc>
      </w:tr>
      <w:tr>
        <w:tc>
          <w:tcPr>
            <w:tcW w:type="dxa" w:w="3010"/>
            <w:tcMar>
              <w:top w:w="120" w:type="dxa"/>
              <w:bottom w:w="120" w:type="dxa"/>
              <w:left w:w="180" w:type="dxa"/>
              <w:right w:w="180" w:type="dxa"/>
            </w:tcMar>
            <w:tcBorders>
              <w:top w:val="single" w:sz="4" w:space="0" w:color="CBD5E1"/>
              <w:left w:val="single" w:sz="4" w:space="0" w:color="CBD5E1"/>
              <w:bottom w:val="single" w:sz="4" w:space="0" w:color="CBD5E1"/>
              <w:right w:val="single" w:sz="4" w:space="0" w:color="CBD5E1"/>
            </w:tcBorders>
          </w:tcPr>
          <w:p>
            <w:r>
              <w:t>AI Obligation Mapping</w:t>
            </w:r>
          </w:p>
        </w:tc>
        <w:tc>
          <w:tcPr>
            <w:tcW w:type="dxa" w:w="3010"/>
            <w:tcMar>
              <w:top w:w="120" w:type="dxa"/>
              <w:bottom w:w="120" w:type="dxa"/>
              <w:left w:w="180" w:type="dxa"/>
              <w:right w:w="180" w:type="dxa"/>
            </w:tcMar>
            <w:tcBorders>
              <w:top w:val="single" w:sz="4" w:space="0" w:color="CBD5E1"/>
              <w:left w:val="single" w:sz="4" w:space="0" w:color="CBD5E1"/>
              <w:bottom w:val="single" w:sz="4" w:space="0" w:color="CBD5E1"/>
              <w:right w:val="single" w:sz="4" w:space="0" w:color="CBD5E1"/>
            </w:tcBorders>
          </w:tcPr>
          <w:p>
            <w:r>
              <w:t>Converts unstructured communications into validated data parameters</w:t>
            </w:r>
          </w:p>
        </w:tc>
        <w:tc>
          <w:tcPr>
            <w:tcW w:type="dxa" w:w="3010"/>
            <w:tcMar>
              <w:top w:w="120" w:type="dxa"/>
              <w:bottom w:w="120" w:type="dxa"/>
              <w:left w:w="180" w:type="dxa"/>
              <w:right w:w="180" w:type="dxa"/>
            </w:tcMar>
            <w:tcBorders>
              <w:top w:val="single" w:sz="4" w:space="0" w:color="CBD5E1"/>
              <w:left w:val="single" w:sz="4" w:space="0" w:color="CBD5E1"/>
              <w:bottom w:val="single" w:sz="4" w:space="0" w:color="CBD5E1"/>
              <w:right w:val="single" w:sz="4" w:space="0" w:color="CBD5E1"/>
            </w:tcBorders>
          </w:tcPr>
          <w:p>
            <w:r>
              <w:t>Pydantic Schema Validation Matrix</w:t>
            </w:r>
          </w:p>
        </w:tc>
      </w:tr>
      <w:tr>
        <w:tc>
          <w:tcPr>
            <w:tcW w:type="dxa" w:w="3010"/>
            <w:tcMar>
              <w:top w:w="120" w:type="dxa"/>
              <w:bottom w:w="120" w:type="dxa"/>
              <w:left w:w="180" w:type="dxa"/>
              <w:right w:w="180" w:type="dxa"/>
            </w:tcMar>
            <w:tcBorders>
              <w:top w:val="single" w:sz="4" w:space="0" w:color="CBD5E1"/>
              <w:left w:val="single" w:sz="4" w:space="0" w:color="CBD5E1"/>
              <w:bottom w:val="single" w:sz="4" w:space="0" w:color="CBD5E1"/>
              <w:right w:val="single" w:sz="4" w:space="0" w:color="CBD5E1"/>
            </w:tcBorders>
            <w:shd w:fill="F8FAFC"/>
          </w:tcPr>
          <w:p>
            <w:r>
              <w:t>Dynamic Calendar Engine</w:t>
            </w:r>
          </w:p>
        </w:tc>
        <w:tc>
          <w:tcPr>
            <w:tcW w:type="dxa" w:w="3010"/>
            <w:tcMar>
              <w:top w:w="120" w:type="dxa"/>
              <w:bottom w:w="120" w:type="dxa"/>
              <w:left w:w="180" w:type="dxa"/>
              <w:right w:w="180" w:type="dxa"/>
            </w:tcMar>
            <w:tcBorders>
              <w:top w:val="single" w:sz="4" w:space="0" w:color="CBD5E1"/>
              <w:left w:val="single" w:sz="4" w:space="0" w:color="CBD5E1"/>
              <w:bottom w:val="single" w:sz="4" w:space="0" w:color="CBD5E1"/>
              <w:right w:val="single" w:sz="4" w:space="0" w:color="CBD5E1"/>
            </w:tcBorders>
            <w:shd w:fill="F8FAFC"/>
          </w:tcPr>
          <w:p>
            <w:r>
              <w:t>Computes risk priorities relative to moving tax timelines</w:t>
            </w:r>
          </w:p>
        </w:tc>
        <w:tc>
          <w:tcPr>
            <w:tcW w:type="dxa" w:w="3010"/>
            <w:tcMar>
              <w:top w:w="120" w:type="dxa"/>
              <w:bottom w:w="120" w:type="dxa"/>
              <w:left w:w="180" w:type="dxa"/>
              <w:right w:w="180" w:type="dxa"/>
            </w:tcMar>
            <w:tcBorders>
              <w:top w:val="single" w:sz="4" w:space="0" w:color="CBD5E1"/>
              <w:left w:val="single" w:sz="4" w:space="0" w:color="CBD5E1"/>
              <w:bottom w:val="single" w:sz="4" w:space="0" w:color="CBD5E1"/>
              <w:right w:val="single" w:sz="4" w:space="0" w:color="CBD5E1"/>
            </w:tcBorders>
            <w:shd w:fill="F8FAFC"/>
          </w:tcPr>
          <w:p>
            <w:r>
              <w:t>Mathematical Critical Path Logic</w:t>
            </w:r>
          </w:p>
        </w:tc>
      </w:tr>
      <w:tr>
        <w:tc>
          <w:tcPr>
            <w:tcW w:type="dxa" w:w="3010"/>
            <w:tcMar>
              <w:top w:w="120" w:type="dxa"/>
              <w:bottom w:w="120" w:type="dxa"/>
              <w:left w:w="180" w:type="dxa"/>
              <w:right w:w="180" w:type="dxa"/>
            </w:tcMar>
            <w:tcBorders>
              <w:top w:val="single" w:sz="4" w:space="0" w:color="CBD5E1"/>
              <w:left w:val="single" w:sz="4" w:space="0" w:color="CBD5E1"/>
              <w:bottom w:val="single" w:sz="4" w:space="0" w:color="CBD5E1"/>
              <w:right w:val="single" w:sz="4" w:space="0" w:color="CBD5E1"/>
            </w:tcBorders>
          </w:tcPr>
          <w:p>
            <w:r>
              <w:t>Shared CA Collaboration Portal</w:t>
            </w:r>
          </w:p>
        </w:tc>
        <w:tc>
          <w:tcPr>
            <w:tcW w:type="dxa" w:w="3010"/>
            <w:tcMar>
              <w:top w:w="120" w:type="dxa"/>
              <w:bottom w:w="120" w:type="dxa"/>
              <w:left w:w="180" w:type="dxa"/>
              <w:right w:w="180" w:type="dxa"/>
            </w:tcMar>
            <w:tcBorders>
              <w:top w:val="single" w:sz="4" w:space="0" w:color="CBD5E1"/>
              <w:left w:val="single" w:sz="4" w:space="0" w:color="CBD5E1"/>
              <w:bottom w:val="single" w:sz="4" w:space="0" w:color="CBD5E1"/>
              <w:right w:val="single" w:sz="4" w:space="0" w:color="CBD5E1"/>
            </w:tcBorders>
          </w:tcPr>
          <w:p>
            <w:r>
              <w:t>Provides unified workspace views across client portfolios</w:t>
            </w:r>
          </w:p>
        </w:tc>
        <w:tc>
          <w:tcPr>
            <w:tcW w:type="dxa" w:w="3010"/>
            <w:tcMar>
              <w:top w:w="120" w:type="dxa"/>
              <w:bottom w:w="120" w:type="dxa"/>
              <w:left w:w="180" w:type="dxa"/>
              <w:right w:w="180" w:type="dxa"/>
            </w:tcMar>
            <w:tcBorders>
              <w:top w:val="single" w:sz="4" w:space="0" w:color="CBD5E1"/>
              <w:left w:val="single" w:sz="4" w:space="0" w:color="CBD5E1"/>
              <w:bottom w:val="single" w:sz="4" w:space="0" w:color="CBD5E1"/>
              <w:right w:val="single" w:sz="4" w:space="0" w:color="CBD5E1"/>
            </w:tcBorders>
          </w:tcPr>
          <w:p>
            <w:r>
              <w:t>Multi-Tenant Access Gateways</w:t>
            </w:r>
          </w:p>
        </w:tc>
      </w:tr>
    </w:tbl>
    <w:p>
      <w:pPr>
        <w:keepNext/>
        <w:spacing w:before="320" w:after="160"/>
      </w:pPr>
      <w:r>
        <w:rPr>
          <w:rFonts w:ascii="Segoe UI" w:hAnsi="Segoe UI"/>
          <w:b/>
          <w:color w:val="0284C7"/>
          <w:sz w:val="28"/>
        </w:rPr>
        <w:t>2.2 Technical Architecture &amp; Database Design Strategy</w:t>
      </w:r>
    </w:p>
    <w:p>
      <w:pPr>
        <w:spacing w:after="200" w:line="276" w:lineRule="auto"/>
      </w:pPr>
      <w:r>
        <w:rPr>
          <w:rFonts w:ascii="Segoe UI" w:hAnsi="Segoe UI"/>
          <w:i w:val="0"/>
          <w:color w:val="334155"/>
          <w:sz w:val="20"/>
        </w:rPr>
        <w:t>The infrastructure employs a divided architecture pattern. The client application layer communicates with an active backend engine managed by Gunicorn and running on asynchronous web frameworks. The transactional tier uses PostgreSQL with partial database indexing rules to optimize lookups over active, non-completed tasks:</w:t>
      </w:r>
    </w:p>
    <w:p>
      <w:pPr>
        <w:spacing w:before="120" w:after="240"/>
        <w:ind w:left="360"/>
      </w:pPr>
    </w:p>
    <w:tbl>
      <w:tblPr>
        <w:tblW w:type="auto" w:w="0"/>
        <w:tblLook w:firstColumn="1" w:firstRow="1" w:lastColumn="0" w:lastRow="0" w:noHBand="0" w:noVBand="1" w:val="04A0"/>
      </w:tblPr>
      <w:tblGrid>
        <w:gridCol w:w="9029"/>
      </w:tblGrid>
      <w:tr>
        <w:tc>
          <w:tcPr>
            <w:tcW w:type="dxa" w:w="9029"/>
            <w:shd w:fill="F1F5F9"/>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after="0"/>
            </w:pPr>
            <w:r>
              <w:rPr>
                <w:rFonts w:ascii="Consolas" w:hAnsi="Consolas"/>
                <w:color w:val="0F172A"/>
                <w:sz w:val="17"/>
              </w:rPr>
              <w:t xml:space="preserve">CREATE INDEX idx_tasks_active_deadlines </w:t>
              <w:br/>
              <w:t xml:space="preserve">ON tasks (user_id, hard_deadline ASC) </w:t>
              <w:br/>
              <w:t>WHERE status != 'FILED';</w:t>
            </w:r>
          </w:p>
        </w:tc>
      </w:tr>
    </w:tbl>
    <w:p>
      <w:pPr>
        <w:keepNext/>
        <w:spacing w:before="480" w:after="240"/>
      </w:pPr>
      <w:r>
        <w:rPr>
          <w:rFonts w:ascii="Segoe UI" w:hAnsi="Segoe UI"/>
          <w:b/>
          <w:color w:val="0F172A"/>
          <w:sz w:val="40"/>
        </w:rPr>
        <w:t>3. Vibe Coding Methodology &amp; AI-Assisted Engineering</w:t>
      </w:r>
    </w:p>
    <w:p>
      <w:pPr>
        <w:spacing w:after="200" w:line="276" w:lineRule="auto"/>
      </w:pPr>
      <w:r>
        <w:rPr>
          <w:rFonts w:ascii="Segoe UI" w:hAnsi="Segoe UI"/>
          <w:i w:val="0"/>
          <w:color w:val="334155"/>
          <w:sz w:val="20"/>
        </w:rPr>
        <w:t>The prototyping and engineering cycles of DeadlineOS balanced fast feature expansion with structured system verification loops. Developers used AI-guided loops to write core boilerplate logic, construct base APIs, and set up schema layouts in minutes.</w:t>
      </w:r>
    </w:p>
    <w:p>
      <w:pPr>
        <w:keepNext/>
        <w:spacing w:before="320" w:after="160"/>
      </w:pPr>
      <w:r>
        <w:rPr>
          <w:rFonts w:ascii="Segoe UI" w:hAnsi="Segoe UI"/>
          <w:b/>
          <w:color w:val="0284C7"/>
          <w:sz w:val="28"/>
        </w:rPr>
        <w:t>3.1 The Verification Loop Pattern</w:t>
      </w:r>
    </w:p>
    <w:p>
      <w:pPr>
        <w:spacing w:after="200" w:line="276" w:lineRule="auto"/>
      </w:pPr>
      <w:r>
        <w:rPr>
          <w:rFonts w:ascii="Segoe UI" w:hAnsi="Segoe UI"/>
          <w:i w:val="0"/>
          <w:color w:val="334155"/>
          <w:sz w:val="20"/>
        </w:rPr>
        <w:t>To avoid technical debt common with unchecked AI coding, the engineering pipeline implemented strict validation steps:</w:t>
      </w:r>
    </w:p>
    <w:p>
      <w:pPr>
        <w:pStyle w:val="ListBullet"/>
        <w:spacing w:after="80" w:line="276" w:lineRule="auto"/>
      </w:pPr>
      <w:r>
        <w:rPr>
          <w:rFonts w:ascii="Segoe UI" w:hAnsi="Segoe UI"/>
          <w:b/>
          <w:color w:val="0F172A"/>
          <w:sz w:val="20"/>
        </w:rPr>
        <w:t xml:space="preserve">Phase 1 - Synthesis: </w:t>
      </w:r>
      <w:r>
        <w:rPr>
          <w:rFonts w:ascii="Segoe UI" w:hAnsi="Segoe UI"/>
          <w:color w:val="334155"/>
          <w:sz w:val="20"/>
        </w:rPr>
        <w:t>The software developer outlines requested system behaviors and database shapes using natural language strings.</w:t>
      </w:r>
    </w:p>
    <w:p>
      <w:pPr>
        <w:pStyle w:val="ListBullet"/>
        <w:spacing w:after="80" w:line="276" w:lineRule="auto"/>
      </w:pPr>
      <w:r>
        <w:rPr>
          <w:rFonts w:ascii="Segoe UI" w:hAnsi="Segoe UI"/>
          <w:b/>
          <w:color w:val="0F172A"/>
          <w:sz w:val="20"/>
        </w:rPr>
        <w:t xml:space="preserve">Phase 2 - Validation: </w:t>
      </w:r>
      <w:r>
        <w:rPr>
          <w:rFonts w:ascii="Segoe UI" w:hAnsi="Segoe UI"/>
          <w:color w:val="334155"/>
          <w:sz w:val="20"/>
        </w:rPr>
        <w:t>Automated static linters and Pydantic object verification loops evaluate the code blocks before deployment.</w:t>
      </w:r>
    </w:p>
    <w:p>
      <w:pPr>
        <w:pStyle w:val="ListBullet"/>
        <w:spacing w:after="80" w:line="276" w:lineRule="auto"/>
      </w:pPr>
      <w:r>
        <w:rPr>
          <w:rFonts w:ascii="Segoe UI" w:hAnsi="Segoe UI"/>
          <w:b/>
          <w:color w:val="0F172A"/>
          <w:sz w:val="20"/>
        </w:rPr>
        <w:t xml:space="preserve">Phase 3 - Integration: </w:t>
      </w:r>
      <w:r>
        <w:rPr>
          <w:rFonts w:ascii="Segoe UI" w:hAnsi="Segoe UI"/>
          <w:color w:val="334155"/>
          <w:sz w:val="20"/>
        </w:rPr>
        <w:t>The validated updates are moved through trunk-based version control frameworks to protect core branches from broken dependencies.</w:t>
      </w:r>
    </w:p>
    <w:p>
      <w:pPr>
        <w:keepNext/>
        <w:spacing w:before="480" w:after="240"/>
      </w:pPr>
      <w:r>
        <w:rPr>
          <w:rFonts w:ascii="Segoe UI" w:hAnsi="Segoe UI"/>
          <w:b/>
          <w:color w:val="0F172A"/>
          <w:sz w:val="40"/>
        </w:rPr>
        <w:t>4. Core Module Engineering &amp; Implementation Log</w:t>
      </w:r>
    </w:p>
    <w:p>
      <w:pPr>
        <w:keepNext/>
        <w:spacing w:before="320" w:after="160"/>
      </w:pPr>
      <w:r>
        <w:rPr>
          <w:rFonts w:ascii="Segoe UI" w:hAnsi="Segoe UI"/>
          <w:b/>
          <w:color w:val="0284C7"/>
          <w:sz w:val="28"/>
        </w:rPr>
        <w:t>4.1 Compliance Engine Critical Path Computations</w:t>
      </w:r>
    </w:p>
    <w:p>
      <w:pPr>
        <w:spacing w:after="200" w:line="276" w:lineRule="auto"/>
      </w:pPr>
      <w:r>
        <w:rPr>
          <w:rFonts w:ascii="Segoe UI" w:hAnsi="Segoe UI"/>
          <w:i w:val="0"/>
          <w:color w:val="334155"/>
          <w:sz w:val="20"/>
        </w:rPr>
        <w:t>The deadline scheduler calculates a real-time Risk Priority Metric ($M_{\text{risk}}$) for active items to prioritize work before penalties occur:</w:t>
      </w:r>
    </w:p>
    <w:p>
      <w:pPr>
        <w:spacing w:after="200" w:line="276" w:lineRule="auto"/>
      </w:pPr>
      <w:r>
        <w:rPr>
          <w:rFonts w:ascii="Segoe UI" w:hAnsi="Segoe UI"/>
          <w:i/>
          <w:color w:val="334155"/>
          <w:sz w:val="20"/>
        </w:rPr>
        <w:t>M_risk = (T_elapsed / T_total) * (1 + C_penalty)</w:t>
      </w:r>
    </w:p>
    <w:p>
      <w:pPr>
        <w:spacing w:after="200" w:line="276" w:lineRule="auto"/>
      </w:pPr>
      <w:r>
        <w:rPr>
          <w:rFonts w:ascii="Segoe UI" w:hAnsi="Segoe UI"/>
          <w:i w:val="0"/>
          <w:color w:val="334155"/>
          <w:sz w:val="20"/>
        </w:rPr>
        <w:t>Where T_elapsed represents the number of days passed since the close of the tracking window, T_total represents the total absolute days allowed until the legal filing deadline, and C_penalty represents the daily compounding penalty coefficient attached to the target regulation.</w:t>
      </w:r>
    </w:p>
    <w:p>
      <w:pPr>
        <w:keepNext/>
        <w:spacing w:before="320" w:after="160"/>
      </w:pPr>
      <w:r>
        <w:rPr>
          <w:rFonts w:ascii="Segoe UI" w:hAnsi="Segoe UI"/>
          <w:b/>
          <w:color w:val="0284C7"/>
          <w:sz w:val="28"/>
        </w:rPr>
        <w:t>4.2 Automated Notification &amp; Document Management Setup</w:t>
      </w:r>
    </w:p>
    <w:p>
      <w:pPr>
        <w:spacing w:after="200" w:line="276" w:lineRule="auto"/>
      </w:pPr>
      <w:r>
        <w:rPr>
          <w:rFonts w:ascii="Segoe UI" w:hAnsi="Segoe UI"/>
          <w:i w:val="0"/>
          <w:color w:val="334155"/>
          <w:sz w:val="20"/>
        </w:rPr>
        <w:t>The messaging module connects via corporate WhatsApp APIs, using structured escalation rules to communicate with client management teams based on calculated risk weights. The file storage architecture links directly with incoming file attachments, automatically organizing collected sheets into appropriate compliance folders.</w:t>
      </w:r>
    </w:p>
    <w:p>
      <w:pPr>
        <w:keepNext/>
        <w:spacing w:before="480" w:after="240"/>
      </w:pPr>
      <w:r>
        <w:rPr>
          <w:rFonts w:ascii="Segoe UI" w:hAnsi="Segoe UI"/>
          <w:b/>
          <w:color w:val="0F172A"/>
          <w:sz w:val="40"/>
        </w:rPr>
        <w:t>5. Cloud Infrastructure &amp; Production Deployment Runbook</w:t>
      </w:r>
    </w:p>
    <w:p>
      <w:pPr>
        <w:spacing w:after="200" w:line="276" w:lineRule="auto"/>
      </w:pPr>
      <w:r>
        <w:rPr>
          <w:rFonts w:ascii="Segoe UI" w:hAnsi="Segoe UI"/>
          <w:i w:val="0"/>
          <w:color w:val="334155"/>
          <w:sz w:val="20"/>
        </w:rPr>
        <w:t>The production stack is deployed on cloud-native container infrastructure on Render, backed by integrated caching tiers and managed storage endpoints.</w:t>
      </w:r>
    </w:p>
    <w:p>
      <w:pPr>
        <w:keepNext/>
        <w:spacing w:before="320" w:after="160"/>
      </w:pPr>
      <w:r>
        <w:rPr>
          <w:rFonts w:ascii="Segoe UI" w:hAnsi="Segoe UI"/>
          <w:b/>
          <w:color w:val="0284C7"/>
          <w:sz w:val="28"/>
        </w:rPr>
        <w:t>5.1 Production Deployment Challenges &amp; Incident RCA Logs</w:t>
      </w:r>
    </w:p>
    <w:p>
      <w:pPr>
        <w:spacing w:after="200" w:line="276" w:lineRule="auto"/>
      </w:pPr>
      <w:r>
        <w:rPr>
          <w:rFonts w:ascii="Segoe UI" w:hAnsi="Segoe UI"/>
          <w:i w:val="0"/>
          <w:color w:val="334155"/>
          <w:sz w:val="20"/>
        </w:rPr>
        <w:t>During platform rollout, the infrastructure engineering team resolved two critical system exceptions:</w:t>
      </w:r>
    </w:p>
    <w:p>
      <w:pPr>
        <w:keepNext/>
        <w:spacing w:before="240" w:after="120"/>
      </w:pPr>
      <w:r>
        <w:rPr>
          <w:rFonts w:ascii="Segoe UI" w:hAnsi="Segoe UI"/>
          <w:b/>
          <w:color w:val="334155"/>
          <w:sz w:val="22"/>
        </w:rPr>
        <w:t>Incident Log 01: Thread-Unsafe Server Chart Contamination</w:t>
      </w:r>
    </w:p>
    <w:p>
      <w:pPr>
        <w:spacing w:after="200" w:line="276" w:lineRule="auto"/>
      </w:pPr>
      <w:r>
        <w:rPr>
          <w:rFonts w:ascii="Segoe UI" w:hAnsi="Segoe UI"/>
          <w:b/>
          <w:color w:val="0F172A"/>
          <w:sz w:val="20"/>
        </w:rPr>
        <w:t xml:space="preserve">Diagnosis: </w:t>
      </w:r>
      <w:r>
        <w:rPr>
          <w:rFonts w:ascii="Segoe UI" w:hAnsi="Segoe UI"/>
          <w:i w:val="0"/>
          <w:color w:val="334155"/>
          <w:sz w:val="20"/>
        </w:rPr>
        <w:t>The system reporting module originally compiled dashboard visualization layouts on the server. Under heavy concurrent multi-tenant request loads, the rendering library used a shared global context block, causing memory contamination and server segmentation faults.</w:t>
      </w:r>
    </w:p>
    <w:p>
      <w:pPr>
        <w:spacing w:after="200" w:line="276" w:lineRule="auto"/>
      </w:pPr>
      <w:r>
        <w:rPr>
          <w:rFonts w:ascii="Segoe UI" w:hAnsi="Segoe UI"/>
          <w:b/>
          <w:color w:val="0F172A"/>
          <w:sz w:val="20"/>
        </w:rPr>
        <w:t xml:space="preserve">Remediation: </w:t>
      </w:r>
      <w:r>
        <w:rPr>
          <w:rFonts w:ascii="Segoe UI" w:hAnsi="Segoe UI"/>
          <w:i w:val="0"/>
          <w:color w:val="334155"/>
          <w:sz w:val="20"/>
        </w:rPr>
        <w:t>Refactored backend reporting endpoints to return raw, compact JSON data arrays. Moved visualization workloads completely to user browsers using lightweight SVG elements, reducing backend memory overhead.</w:t>
      </w:r>
    </w:p>
    <w:p>
      <w:pPr>
        <w:keepNext/>
        <w:spacing w:before="240" w:after="120"/>
      </w:pPr>
      <w:r>
        <w:rPr>
          <w:rFonts w:ascii="Segoe UI" w:hAnsi="Segoe UI"/>
          <w:b/>
          <w:color w:val="334155"/>
          <w:sz w:val="22"/>
        </w:rPr>
        <w:t>Incident Log 02: Gunicorn Worker Pools Request Starvation</w:t>
      </w:r>
    </w:p>
    <w:p>
      <w:pPr>
        <w:spacing w:after="200" w:line="276" w:lineRule="auto"/>
      </w:pPr>
      <w:r>
        <w:rPr>
          <w:rFonts w:ascii="Segoe UI" w:hAnsi="Segoe UI"/>
          <w:b/>
          <w:color w:val="0F172A"/>
          <w:sz w:val="20"/>
        </w:rPr>
        <w:t xml:space="preserve">Diagnosis: </w:t>
      </w:r>
      <w:r>
        <w:rPr>
          <w:rFonts w:ascii="Segoe UI" w:hAnsi="Segoe UI"/>
          <w:i w:val="0"/>
          <w:color w:val="334155"/>
          <w:sz w:val="20"/>
        </w:rPr>
        <w:t>The web app container was originally provisioned using synchronous Gunicorn worker configurations. When multiple users submitted large file parsing actions simultaneously, worker threads blocked while waiting for external API network responses to resolve, causing incoming traffic to stack up and time out.</w:t>
      </w:r>
    </w:p>
    <w:p>
      <w:pPr>
        <w:spacing w:after="200" w:line="276" w:lineRule="auto"/>
      </w:pPr>
      <w:r>
        <w:rPr>
          <w:rFonts w:ascii="Segoe UI" w:hAnsi="Segoe UI"/>
          <w:b/>
          <w:color w:val="0F172A"/>
          <w:sz w:val="20"/>
        </w:rPr>
        <w:t xml:space="preserve">Remediation: </w:t>
      </w:r>
      <w:r>
        <w:rPr>
          <w:rFonts w:ascii="Segoe UI" w:hAnsi="Segoe UI"/>
          <w:i w:val="0"/>
          <w:color w:val="334155"/>
          <w:sz w:val="20"/>
        </w:rPr>
        <w:t>Upgraded container configuration profiles to run asynchronous workers using Uvicorn wrappers. This ensures waiting threads are parked while external APIs resolve, keeping the platform responsive to incoming traffic.</w:t>
      </w:r>
    </w:p>
    <w:p>
      <w:pPr>
        <w:spacing w:before="120" w:after="240"/>
        <w:ind w:left="360"/>
      </w:pPr>
    </w:p>
    <w:tbl>
      <w:tblPr>
        <w:tblW w:type="auto" w:w="0"/>
        <w:tblLook w:firstColumn="1" w:firstRow="1" w:lastColumn="0" w:lastRow="0" w:noHBand="0" w:noVBand="1" w:val="04A0"/>
      </w:tblPr>
      <w:tblGrid>
        <w:gridCol w:w="9029"/>
      </w:tblGrid>
      <w:tr>
        <w:tc>
          <w:tcPr>
            <w:tcW w:type="dxa" w:w="9029"/>
            <w:shd w:fill="F1F5F9"/>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after="0"/>
            </w:pPr>
            <w:r>
              <w:rPr>
                <w:rFonts w:ascii="Consolas" w:hAnsi="Consolas"/>
                <w:color w:val="0F172A"/>
                <w:sz w:val="17"/>
              </w:rPr>
              <w:t># Production Gunicorn Scaling Configuration (gunicorn_config.py)</w:t>
              <w:br/>
              <w:t>bind = "0.0.0.0:10000"</w:t>
              <w:br/>
              <w:t>workers = 4  # Operational standard: (2 * Core Count) + 1</w:t>
              <w:br/>
              <w:t>worker_class = "uvicorn.workers.UvicornWorker"</w:t>
              <w:br/>
              <w:t>timeout = 60</w:t>
            </w:r>
          </w:p>
        </w:tc>
      </w:tr>
    </w:tbl>
    <w:p>
      <w:pPr>
        <w:keepNext/>
        <w:spacing w:before="480" w:after="240"/>
      </w:pPr>
      <w:r>
        <w:rPr>
          <w:rFonts w:ascii="Segoe UI" w:hAnsi="Segoe UI"/>
          <w:b/>
          <w:color w:val="0F172A"/>
          <w:sz w:val="40"/>
        </w:rPr>
        <w:t>6. Operational Insights, Roadmap &amp; Retrospective</w:t>
      </w:r>
    </w:p>
    <w:p>
      <w:pPr>
        <w:keepNext/>
        <w:spacing w:before="320" w:after="160"/>
      </w:pPr>
      <w:r>
        <w:rPr>
          <w:rFonts w:ascii="Segoe UI" w:hAnsi="Segoe UI"/>
          <w:b/>
          <w:color w:val="0284C7"/>
          <w:sz w:val="28"/>
        </w:rPr>
        <w:t>6.1 Engineering Retrospective &amp; Key Takeaways</w:t>
      </w:r>
    </w:p>
    <w:p>
      <w:pPr>
        <w:pStyle w:val="ListBullet"/>
        <w:spacing w:after="80" w:line="276" w:lineRule="auto"/>
      </w:pPr>
      <w:r>
        <w:rPr>
          <w:rFonts w:ascii="Segoe UI" w:hAnsi="Segoe UI"/>
          <w:b/>
          <w:color w:val="0F172A"/>
          <w:sz w:val="20"/>
        </w:rPr>
        <w:t xml:space="preserve">Enforce Strict Object Validation: </w:t>
      </w:r>
      <w:r>
        <w:rPr>
          <w:rFonts w:ascii="Segoe UI" w:hAnsi="Segoe UI"/>
          <w:color w:val="334155"/>
          <w:sz w:val="20"/>
        </w:rPr>
        <w:t>High-velocity AI generation is highly effective for building quick features, but requires explicit structural guidelines and automated linting checks to prevent technical debt.</w:t>
      </w:r>
    </w:p>
    <w:p>
      <w:pPr>
        <w:pStyle w:val="ListBullet"/>
        <w:spacing w:after="80" w:line="276" w:lineRule="auto"/>
      </w:pPr>
      <w:r>
        <w:rPr>
          <w:rFonts w:ascii="Segoe UI" w:hAnsi="Segoe UI"/>
          <w:b/>
          <w:color w:val="0F172A"/>
          <w:sz w:val="20"/>
        </w:rPr>
        <w:t xml:space="preserve">Decouple Processing Tasks: </w:t>
      </w:r>
      <w:r>
        <w:rPr>
          <w:rFonts w:ascii="Segoe UI" w:hAnsi="Segoe UI"/>
          <w:color w:val="334155"/>
          <w:sz w:val="20"/>
        </w:rPr>
        <w:t>Offloading complex visualization work to client browsers prevents backend threading blockups and ensures smooth dashboard performance under load.</w:t>
      </w:r>
    </w:p>
    <w:p>
      <w:pPr>
        <w:keepNext/>
        <w:spacing w:before="320" w:after="160"/>
      </w:pPr>
      <w:r>
        <w:rPr>
          <w:rFonts w:ascii="Segoe UI" w:hAnsi="Segoe UI"/>
          <w:b/>
          <w:color w:val="0284C7"/>
          <w:sz w:val="28"/>
        </w:rPr>
        <w:t>6.2 Future Engineering Roadmap</w:t>
      </w:r>
    </w:p>
    <w:p>
      <w:pPr>
        <w:pStyle w:val="ListBullet"/>
        <w:spacing w:after="80" w:line="276" w:lineRule="auto"/>
      </w:pPr>
      <w:r>
        <w:rPr>
          <w:rFonts w:ascii="Segoe UI" w:hAnsi="Segoe UI"/>
          <w:b/>
          <w:color w:val="0F172A"/>
          <w:sz w:val="20"/>
        </w:rPr>
        <w:t xml:space="preserve">Phase 1 - Banking Gateways: </w:t>
      </w:r>
      <w:r>
        <w:rPr>
          <w:rFonts w:ascii="Segoe UI" w:hAnsi="Segoe UI"/>
          <w:color w:val="334155"/>
          <w:sz w:val="20"/>
        </w:rPr>
        <w:t>Build deep integration pathways into major Indian corporate banking systems to verify tax challans and automate payments within the platform.</w:t>
      </w:r>
    </w:p>
    <w:p>
      <w:pPr>
        <w:pStyle w:val="ListBullet"/>
        <w:spacing w:after="80" w:line="276" w:lineRule="auto"/>
      </w:pPr>
      <w:r>
        <w:rPr>
          <w:rFonts w:ascii="Segoe UI" w:hAnsi="Segoe UI"/>
          <w:b/>
          <w:color w:val="0F172A"/>
          <w:sz w:val="20"/>
        </w:rPr>
        <w:t xml:space="preserve">Phase 2 - Notice Parsing: </w:t>
      </w:r>
      <w:r>
        <w:rPr>
          <w:rFonts w:ascii="Segoe UI" w:hAnsi="Segoe UI"/>
          <w:color w:val="334155"/>
          <w:sz w:val="20"/>
        </w:rPr>
        <w:t>Introduce advanced notice parsing engines that scan incoming government letters, identify core legal issues raised, and draft initial template responses for partner CAs.</w:t>
      </w:r>
    </w:p>
    <w:p>
      <w:r>
        <w:br w:type="page"/>
      </w:r>
    </w:p>
    <w:p>
      <w:pPr>
        <w:keepNext/>
        <w:spacing w:before="480" w:after="240"/>
      </w:pPr>
      <w:r>
        <w:rPr>
          <w:rFonts w:ascii="Segoe UI" w:hAnsi="Segoe UI"/>
          <w:b/>
          <w:color w:val="0F172A"/>
          <w:sz w:val="40"/>
        </w:rPr>
        <w:t>7. Appendix: Suggested GitHub Documentation Repository Structure</w:t>
      </w:r>
    </w:p>
    <w:p>
      <w:pPr>
        <w:spacing w:after="200" w:line="276" w:lineRule="auto"/>
      </w:pPr>
      <w:r>
        <w:rPr>
          <w:rFonts w:ascii="Segoe UI" w:hAnsi="Segoe UI"/>
          <w:i w:val="0"/>
          <w:color w:val="334155"/>
          <w:sz w:val="20"/>
        </w:rPr>
        <w:t>To deploy this lifecycle documentation within an accessible GitHub environment, the engineering team recommends organizing files across the following directory structure:</w:t>
      </w:r>
    </w:p>
    <w:p>
      <w:pPr>
        <w:spacing w:before="120" w:after="240"/>
        <w:ind w:left="360"/>
      </w:pPr>
    </w:p>
    <w:tbl>
      <w:tblPr>
        <w:tblW w:type="auto" w:w="0"/>
        <w:tblLook w:firstColumn="1" w:firstRow="1" w:lastColumn="0" w:lastRow="0" w:noHBand="0" w:noVBand="1" w:val="04A0"/>
      </w:tblPr>
      <w:tblGrid>
        <w:gridCol w:w="9029"/>
      </w:tblGrid>
      <w:tr>
        <w:tc>
          <w:tcPr>
            <w:tcW w:type="dxa" w:w="9029"/>
            <w:shd w:fill="F1F5F9"/>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after="0"/>
            </w:pPr>
            <w:r>
              <w:rPr>
                <w:rFonts w:ascii="Consolas" w:hAnsi="Consolas"/>
                <w:color w:val="0F172A"/>
                <w:sz w:val="17"/>
              </w:rPr>
              <w:t>docs/</w:t>
              <w:br/>
              <w:t>├── README.md                           # Main Documentation Index</w:t>
              <w:br/>
              <w:t>├── executive-overview.md               # Vision &amp; Problem Foundations</w:t>
              <w:br/>
              <w:t>├── requirements/</w:t>
              <w:br/>
              <w:t>│   ├── functional-specs.md             # Ingestion &amp; Calibration Specs</w:t>
              <w:br/>
              <w:t>│   └── non-functional-specs.md         # Security &amp; Multi-Region SLAs</w:t>
              <w:br/>
              <w:t>├── architecture/</w:t>
              <w:br/>
              <w:t>│   ├── system-blueprint.md             # Split Architecture Layout</w:t>
              <w:br/>
              <w:t>│   └── database-schema.md              # Postgres &amp; Redis Caching Rules</w:t>
              <w:br/>
              <w:t>├── methodology/</w:t>
              <w:br/>
              <w:t>│   └── verification-loops.md           # AI Engineering &amp; Linting Gates</w:t>
              <w:br/>
              <w:t>├── operational-runbooks/</w:t>
              <w:br/>
              <w:t>│   ├── deployment-guide.md             # Render Provisioning Steps</w:t>
              <w:br/>
              <w:t>│   └── incident-post-mortems.md        # RCAs &amp; Thread Safety Fixes</w:t>
              <w:br/>
              <w:t>└── roadmap/</w:t>
              <w:br/>
              <w:t xml:space="preserve">    └── future-expansion.md             # Banking Hooks &amp; AI Notice Systems</w:t>
            </w:r>
          </w:p>
        </w:tc>
      </w:tr>
    </w:tbl>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