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r>
        <w:rPr>
          <w:rFonts w:ascii="Segoe UI" w:hAnsi="Segoe UI"/>
          <w:b/>
          <w:color w:val="0284C7"/>
          <w:sz w:val="19"/>
        </w:rPr>
        <w:t>ENTERPRISE DEVOPS &amp; OPERATIONS HANDBOOK</w:t>
      </w:r>
    </w:p>
    <w:p>
      <w:pPr>
        <w:spacing w:after="40"/>
      </w:pPr>
      <w:r>
        <w:rPr>
          <w:rFonts w:ascii="Segoe UI" w:hAnsi="Segoe UI"/>
          <w:b/>
          <w:color w:val="0F172A"/>
          <w:sz w:val="72"/>
        </w:rPr>
        <w:t>DeadlineOS</w:t>
      </w:r>
    </w:p>
    <w:p>
      <w:pPr>
        <w:spacing w:after="2800"/>
      </w:pPr>
      <w:r>
        <w:rPr>
          <w:rFonts w:ascii="Segoe UI" w:hAnsi="Segoe UI"/>
          <w:color w:val="475569"/>
          <w:sz w:val="26"/>
        </w:rPr>
        <w:t>Maintenance, Operations &amp; Change Management Documentation</w:t>
        <w:br/>
        <w:t>AI-Native Compliance Operating System for Indian SMBs</w:t>
      </w:r>
    </w:p>
    <w:tbl>
      <w:tblPr>
        <w:tblW w:type="auto" w:w="0"/>
        <w:jc w:val="left"/>
        <w:tblLook w:firstColumn="1" w:firstRow="1" w:lastColumn="0" w:lastRow="0" w:noHBand="0" w:noVBand="1" w:val="04A0"/>
      </w:tblPr>
      <w:tblGrid>
        <w:gridCol w:w="4514"/>
        <w:gridCol w:w="4514"/>
      </w:tblGrid>
      <w:tr>
        <w:tc>
          <w:tcPr>
            <w:tcW w:type="dxa" w:w="3168"/>
          </w:tcPr>
          <w:p>
            <w:pPr>
              <w:spacing w:after="40"/>
            </w:pPr>
            <w:r>
              <w:rPr>
                <w:rFonts w:ascii="Segoe UI" w:hAnsi="Segoe UI"/>
                <w:b/>
                <w:color w:val="64748B"/>
                <w:sz w:val="19"/>
              </w:rPr>
              <w:t>Release Version ID:</w:t>
            </w:r>
          </w:p>
        </w:tc>
        <w:tc>
          <w:tcPr>
            <w:tcW w:type="dxa" w:w="6192"/>
          </w:tcPr>
          <w:p>
            <w:pPr>
              <w:spacing w:after="40"/>
            </w:pPr>
            <w:r>
              <w:rPr>
                <w:rFonts w:ascii="Segoe UI" w:hAnsi="Segoe UI"/>
                <w:color w:val="0F172A"/>
                <w:sz w:val="19"/>
              </w:rPr>
              <w:t>v2.1.0-RELEASE</w:t>
            </w:r>
          </w:p>
        </w:tc>
      </w:tr>
      <w:tr>
        <w:tc>
          <w:tcPr>
            <w:tcW w:type="dxa" w:w="3168"/>
          </w:tcPr>
          <w:p>
            <w:pPr>
              <w:spacing w:after="40"/>
            </w:pPr>
            <w:r>
              <w:rPr>
                <w:rFonts w:ascii="Segoe UI" w:hAnsi="Segoe UI"/>
                <w:b/>
                <w:color w:val="64748B"/>
                <w:sz w:val="19"/>
              </w:rPr>
              <w:t>Infrastructure Tier:</w:t>
            </w:r>
          </w:p>
        </w:tc>
        <w:tc>
          <w:tcPr>
            <w:tcW w:type="dxa" w:w="6192"/>
          </w:tcPr>
          <w:p>
            <w:pPr>
              <w:spacing w:after="40"/>
            </w:pPr>
            <w:r>
              <w:rPr>
                <w:rFonts w:ascii="Segoe UI" w:hAnsi="Segoe UI"/>
                <w:color w:val="0F172A"/>
                <w:sz w:val="19"/>
              </w:rPr>
              <w:t>Render Production Multi-Region Cluster (LIVE_URL_HERE)</w:t>
            </w:r>
          </w:p>
        </w:tc>
      </w:tr>
      <w:tr>
        <w:tc>
          <w:tcPr>
            <w:tcW w:type="dxa" w:w="3168"/>
          </w:tcPr>
          <w:p>
            <w:pPr>
              <w:spacing w:after="40"/>
            </w:pPr>
            <w:r>
              <w:rPr>
                <w:rFonts w:ascii="Segoe UI" w:hAnsi="Segoe UI"/>
                <w:b/>
                <w:color w:val="64748B"/>
                <w:sz w:val="19"/>
              </w:rPr>
              <w:t>Primary Custodian:</w:t>
            </w:r>
          </w:p>
        </w:tc>
        <w:tc>
          <w:tcPr>
            <w:tcW w:type="dxa" w:w="6192"/>
          </w:tcPr>
          <w:p>
            <w:pPr>
              <w:spacing w:after="40"/>
            </w:pPr>
            <w:r>
              <w:rPr>
                <w:rFonts w:ascii="Segoe UI" w:hAnsi="Segoe UI"/>
                <w:color w:val="0F172A"/>
                <w:sz w:val="19"/>
              </w:rPr>
              <w:t>Site Reliability Engineering (SRE) &amp; Core DevOps</w:t>
            </w:r>
          </w:p>
        </w:tc>
      </w:tr>
      <w:tr>
        <w:tc>
          <w:tcPr>
            <w:tcW w:type="dxa" w:w="3168"/>
          </w:tcPr>
          <w:p>
            <w:pPr>
              <w:spacing w:after="40"/>
            </w:pPr>
            <w:r>
              <w:rPr>
                <w:rFonts w:ascii="Segoe UI" w:hAnsi="Segoe UI"/>
                <w:b/>
                <w:color w:val="64748B"/>
                <w:sz w:val="19"/>
              </w:rPr>
              <w:t>Classification:</w:t>
            </w:r>
          </w:p>
        </w:tc>
        <w:tc>
          <w:tcPr>
            <w:tcW w:type="dxa" w:w="6192"/>
          </w:tcPr>
          <w:p>
            <w:pPr>
              <w:spacing w:after="40"/>
            </w:pPr>
            <w:r>
              <w:rPr>
                <w:rFonts w:ascii="Segoe UI" w:hAnsi="Segoe UI"/>
                <w:color w:val="0F172A"/>
                <w:sz w:val="19"/>
              </w:rPr>
              <w:t>Restricted Internal SRE Runbook • Business Critical</w:t>
            </w:r>
          </w:p>
        </w:tc>
      </w:tr>
      <w:tr>
        <w:tc>
          <w:tcPr>
            <w:tcW w:type="dxa" w:w="3168"/>
          </w:tcPr>
          <w:p>
            <w:pPr>
              <w:spacing w:after="40"/>
            </w:pPr>
            <w:r>
              <w:rPr>
                <w:rFonts w:ascii="Segoe UI" w:hAnsi="Segoe UI"/>
                <w:b/>
                <w:color w:val="64748B"/>
                <w:sz w:val="19"/>
              </w:rPr>
              <w:t>Review Date:</w:t>
            </w:r>
          </w:p>
        </w:tc>
        <w:tc>
          <w:tcPr>
            <w:tcW w:type="dxa" w:w="6192"/>
          </w:tcPr>
          <w:p>
            <w:pPr>
              <w:spacing w:after="40"/>
            </w:pPr>
            <w:r>
              <w:rPr>
                <w:rFonts w:ascii="Segoe UI" w:hAnsi="Segoe UI"/>
                <w:color w:val="0F172A"/>
                <w:sz w:val="19"/>
              </w:rPr>
              <w:t>May 23, 2026</w:t>
            </w:r>
          </w:p>
        </w:tc>
      </w:tr>
    </w:tbl>
    <w:p>
      <w:r>
        <w:br w:type="page"/>
      </w:r>
    </w:p>
    <w:p>
      <w:pPr>
        <w:keepNext/>
        <w:spacing w:before="440" w:after="200"/>
      </w:pPr>
      <w:r>
        <w:rPr>
          <w:rFonts w:ascii="Segoe UI" w:hAnsi="Segoe UI"/>
          <w:b/>
          <w:color w:val="0F172A"/>
          <w:sz w:val="36"/>
        </w:rPr>
        <w:t>1. Executive Maintenance Overview &amp; Environment Summary</w:t>
      </w:r>
    </w:p>
    <w:p>
      <w:pPr>
        <w:spacing w:after="160" w:line="276" w:lineRule="auto"/>
      </w:pPr>
      <w:r>
        <w:rPr>
          <w:rFonts w:ascii="Segoe UI" w:hAnsi="Segoe UI"/>
          <w:i w:val="0"/>
          <w:color w:val="334155"/>
          <w:sz w:val="19"/>
        </w:rPr>
        <w:t>This document provides the formal operational guidelines, change management matrices, and site reliability runbooks for DeadlineOS. DeadlineOS is an AI-native Compliance Operating System optimized for Indian Small and Medium Businesses (SMBs) and multi-entity enterprises. It acts as an operational system of record, explicitly separating itself from generic productivity or task tools to focus on coordinating filing lifecycles across GST, TDS, ROC, PF, and ESIC regimes.</w:t>
      </w:r>
    </w:p>
    <w:p>
      <w:pPr>
        <w:keepNext/>
        <w:spacing w:before="280" w:after="120"/>
      </w:pPr>
      <w:r>
        <w:rPr>
          <w:rFonts w:ascii="Segoe UI" w:hAnsi="Segoe UI"/>
          <w:b/>
          <w:color w:val="0284C7"/>
          <w:sz w:val="26"/>
        </w:rPr>
        <w:t>1.1 Infrastructure &amp; Architecture Topology</w:t>
      </w:r>
    </w:p>
    <w:p>
      <w:pPr>
        <w:pStyle w:val="ListBullet"/>
        <w:spacing w:after="60" w:line="276" w:lineRule="auto"/>
      </w:pPr>
      <w:r>
        <w:rPr>
          <w:rFonts w:ascii="Segoe UI" w:hAnsi="Segoe UI"/>
          <w:b/>
          <w:color w:val="0F172A"/>
          <w:sz w:val="19"/>
        </w:rPr>
        <w:t xml:space="preserve">Application Gateway: </w:t>
      </w:r>
      <w:r>
        <w:rPr>
          <w:rFonts w:ascii="Segoe UI" w:hAnsi="Segoe UI"/>
          <w:color w:val="334155"/>
          <w:sz w:val="19"/>
        </w:rPr>
        <w:t>Containerized asynchronous web services running high-performance Gunicorn processes with Uvicorn worker sub-pools.</w:t>
      </w:r>
    </w:p>
    <w:p>
      <w:pPr>
        <w:pStyle w:val="ListBullet"/>
        <w:spacing w:after="60" w:line="276" w:lineRule="auto"/>
      </w:pPr>
      <w:r>
        <w:rPr>
          <w:rFonts w:ascii="Segoe UI" w:hAnsi="Segoe UI"/>
          <w:b/>
          <w:color w:val="0F172A"/>
          <w:sz w:val="19"/>
        </w:rPr>
        <w:t xml:space="preserve">Database Layer: </w:t>
      </w:r>
      <w:r>
        <w:rPr>
          <w:rFonts w:ascii="Segoe UI" w:hAnsi="Segoe UI"/>
          <w:color w:val="334155"/>
          <w:sz w:val="19"/>
        </w:rPr>
        <w:t>Fully managed PostgreSQL engine (v15.4) running active connection proxies and dedicated read-replicas.</w:t>
      </w:r>
    </w:p>
    <w:p>
      <w:pPr>
        <w:pStyle w:val="ListBullet"/>
        <w:spacing w:after="60" w:line="276" w:lineRule="auto"/>
      </w:pPr>
      <w:r>
        <w:rPr>
          <w:rFonts w:ascii="Segoe UI" w:hAnsi="Segoe UI"/>
          <w:b/>
          <w:color w:val="0F172A"/>
          <w:sz w:val="19"/>
        </w:rPr>
        <w:t xml:space="preserve">Caching &amp; Task Tier: </w:t>
      </w:r>
      <w:r>
        <w:rPr>
          <w:rFonts w:ascii="Segoe UI" w:hAnsi="Segoe UI"/>
          <w:color w:val="334155"/>
          <w:sz w:val="19"/>
        </w:rPr>
        <w:t>In-memory Redis enterprise cluster (v7.2) serving active session tokens, task queues, and analytical telemetry caches.</w:t>
      </w:r>
    </w:p>
    <w:p>
      <w:pPr>
        <w:keepNext/>
        <w:spacing w:before="440" w:after="200"/>
      </w:pPr>
      <w:r>
        <w:rPr>
          <w:rFonts w:ascii="Segoe UI" w:hAnsi="Segoe UI"/>
          <w:b/>
          <w:color w:val="0F172A"/>
          <w:sz w:val="36"/>
        </w:rPr>
        <w:t>2. Production Change Log &amp; Semantic Release Management</w:t>
      </w:r>
    </w:p>
    <w:p>
      <w:pPr>
        <w:spacing w:after="160" w:line="276" w:lineRule="auto"/>
      </w:pPr>
      <w:r>
        <w:rPr>
          <w:rFonts w:ascii="Segoe UI" w:hAnsi="Segoe UI"/>
          <w:i w:val="0"/>
          <w:color w:val="334155"/>
          <w:sz w:val="19"/>
        </w:rPr>
        <w:t>DeadlineOS employs a structural trunk-based release lifecycle coupled with semantic versioning standards:</w:t>
      </w:r>
    </w:p>
    <w:tbl>
      <w:tblPr>
        <w:tblW w:type="auto" w:w="0"/>
        <w:jc w:val="center"/>
        <w:tblLook w:firstColumn="1" w:firstRow="1" w:lastColumn="0" w:lastRow="0" w:noHBand="0" w:noVBand="1" w:val="04A0"/>
      </w:tblPr>
      <w:tblGrid>
        <w:gridCol w:w="2257"/>
        <w:gridCol w:w="2257"/>
        <w:gridCol w:w="2257"/>
        <w:gridCol w:w="2257"/>
      </w:tblGrid>
      <w:tr>
        <w:tc>
          <w:tcPr>
            <w:tcW w:type="dxa" w:w="2257"/>
            <w:shd w:fill="0F172A"/>
            <w:tcMar>
              <w:top w:w="100" w:type="dxa"/>
              <w:bottom w:w="100" w:type="dxa"/>
              <w:left w:w="150" w:type="dxa"/>
              <w:right w:w="150" w:type="dxa"/>
            </w:tcMar>
          </w:tcPr>
          <w:p>
            <w:r>
              <w:rPr>
                <w:b/>
                <w:color w:val="FFFFFF"/>
              </w:rPr>
              <w:t>Version Tag</w:t>
            </w:r>
          </w:p>
        </w:tc>
        <w:tc>
          <w:tcPr>
            <w:tcW w:type="dxa" w:w="2257"/>
            <w:shd w:fill="0F172A"/>
            <w:tcMar>
              <w:top w:w="100" w:type="dxa"/>
              <w:bottom w:w="100" w:type="dxa"/>
              <w:left w:w="150" w:type="dxa"/>
              <w:right w:w="150" w:type="dxa"/>
            </w:tcMar>
          </w:tcPr>
          <w:p>
            <w:r>
              <w:rPr>
                <w:b/>
                <w:color w:val="FFFFFF"/>
              </w:rPr>
              <w:t>Release Date</w:t>
            </w:r>
          </w:p>
        </w:tc>
        <w:tc>
          <w:tcPr>
            <w:tcW w:type="dxa" w:w="2257"/>
            <w:shd w:fill="0F172A"/>
            <w:tcMar>
              <w:top w:w="100" w:type="dxa"/>
              <w:bottom w:w="100" w:type="dxa"/>
              <w:left w:w="150" w:type="dxa"/>
              <w:right w:w="150" w:type="dxa"/>
            </w:tcMar>
          </w:tcPr>
          <w:p>
            <w:r>
              <w:rPr>
                <w:b/>
                <w:color w:val="FFFFFF"/>
              </w:rPr>
              <w:t>Scope of Infrastructure Change</w:t>
            </w:r>
          </w:p>
        </w:tc>
        <w:tc>
          <w:tcPr>
            <w:tcW w:type="dxa" w:w="2257"/>
            <w:shd w:fill="0F172A"/>
            <w:tcMar>
              <w:top w:w="100" w:type="dxa"/>
              <w:bottom w:w="100" w:type="dxa"/>
              <w:left w:w="150" w:type="dxa"/>
              <w:right w:w="150" w:type="dxa"/>
            </w:tcMar>
          </w:tcPr>
          <w:p>
            <w:r>
              <w:rPr>
                <w:b/>
                <w:color w:val="FFFFFF"/>
              </w:rPr>
              <w:t>Verification Status</w:t>
            </w:r>
          </w:p>
        </w:tc>
      </w:tr>
      <w:tr>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v1.0.0</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March 11, 2026</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Initial production cluster deployment; database schema provisioning.</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Validated stable</w:t>
            </w:r>
          </w:p>
        </w:tc>
      </w:tr>
      <w:tr>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shd w:fill="F8FAFC"/>
          </w:tcPr>
          <w:p>
            <w:r>
              <w:t>v1.1.0</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shd w:fill="F8FAFC"/>
          </w:tcPr>
          <w:p>
            <w:r>
              <w:t>April 02, 2026</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shd w:fill="F8FAFC"/>
          </w:tcPr>
          <w:p>
            <w:r>
              <w:t>Upgraded notification channels to verified corporate WhatsApp APIs.</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shd w:fill="F8FAFC"/>
          </w:tcPr>
          <w:p>
            <w:r>
              <w:t>Validated stable</w:t>
            </w:r>
          </w:p>
        </w:tc>
      </w:tr>
      <w:tr>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v1.2.0</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April 29, 2026</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Hotfix deployment shifting dashboard charts to client SVG components.</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Validated stable</w:t>
            </w:r>
          </w:p>
        </w:tc>
      </w:tr>
      <w:tr>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shd w:fill="F8FAFC"/>
          </w:tcPr>
          <w:p>
            <w:r>
              <w:t>v2.0.0</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shd w:fill="F8FAFC"/>
          </w:tcPr>
          <w:p>
            <w:r>
              <w:t>May 18, 2026</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shd w:fill="F8FAFC"/>
          </w:tcPr>
          <w:p>
            <w:r>
              <w:t>Migrated Gunicorn configurations to multi-core asynchronous worker pools.</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shd w:fill="F8FAFC"/>
          </w:tcPr>
          <w:p>
            <w:r>
              <w:t>Active production</w:t>
            </w:r>
          </w:p>
        </w:tc>
      </w:tr>
    </w:tbl>
    <w:p>
      <w:pPr>
        <w:keepNext/>
        <w:spacing w:before="280" w:after="120"/>
      </w:pPr>
      <w:r>
        <w:rPr>
          <w:rFonts w:ascii="Segoe UI" w:hAnsi="Segoe UI"/>
          <w:b/>
          <w:color w:val="0284C7"/>
          <w:sz w:val="26"/>
        </w:rPr>
        <w:t>2.1 GitHub Operations &amp; Deployment Governance</w:t>
      </w:r>
    </w:p>
    <w:p>
      <w:pPr>
        <w:spacing w:after="160" w:line="276" w:lineRule="auto"/>
      </w:pPr>
      <w:r>
        <w:rPr>
          <w:rFonts w:ascii="Segoe UI" w:hAnsi="Segoe UI"/>
          <w:i w:val="0"/>
          <w:color w:val="334155"/>
          <w:sz w:val="19"/>
        </w:rPr>
        <w:t>Code changes require short-lived feature branches, successful automated linting and validation test passes via GitHub Actions, and formal sign-offs from release managers before merging to production. Automatic rollbacks trigger immediately if container health endpoints fail within 180 seconds of a deployment rollout.</w:t>
      </w:r>
    </w:p>
    <w:p>
      <w:pPr>
        <w:keepNext/>
        <w:spacing w:before="440" w:after="200"/>
      </w:pPr>
      <w:r>
        <w:rPr>
          <w:rFonts w:ascii="Segoe UI" w:hAnsi="Segoe UI"/>
          <w:b/>
          <w:color w:val="0F172A"/>
          <w:sz w:val="36"/>
        </w:rPr>
        <w:t>3. Routine Maintenance Protocols &amp; Asset Handling</w:t>
      </w:r>
    </w:p>
    <w:p>
      <w:pPr>
        <w:keepNext/>
        <w:spacing w:before="280" w:after="120"/>
      </w:pPr>
      <w:r>
        <w:rPr>
          <w:rFonts w:ascii="Segoe UI" w:hAnsi="Segoe UI"/>
          <w:b/>
          <w:color w:val="0284C7"/>
          <w:sz w:val="26"/>
        </w:rPr>
        <w:t>3.1 Database &amp; API Maintenance Procedures</w:t>
      </w:r>
    </w:p>
    <w:p>
      <w:pPr>
        <w:pStyle w:val="ListBullet"/>
        <w:spacing w:after="60" w:line="276" w:lineRule="auto"/>
      </w:pPr>
      <w:r>
        <w:rPr>
          <w:rFonts w:ascii="Segoe UI" w:hAnsi="Segoe UI"/>
          <w:b/>
          <w:color w:val="0F172A"/>
          <w:sz w:val="19"/>
        </w:rPr>
        <w:t xml:space="preserve">Storage Optimization: </w:t>
      </w:r>
      <w:r>
        <w:rPr>
          <w:rFonts w:ascii="Segoe UI" w:hAnsi="Segoe UI"/>
          <w:color w:val="334155"/>
          <w:sz w:val="19"/>
        </w:rPr>
        <w:t>Automated optimization tasks (VACUUM ANALYZE) execute weekly during low-volume hours (Sundays at 03:00 UTC) to refresh physical indexes and clean expired records.</w:t>
      </w:r>
    </w:p>
    <w:p>
      <w:pPr>
        <w:pStyle w:val="ListBullet"/>
        <w:spacing w:after="60" w:line="276" w:lineRule="auto"/>
      </w:pPr>
      <w:r>
        <w:rPr>
          <w:rFonts w:ascii="Segoe UI" w:hAnsi="Segoe UI"/>
          <w:b/>
          <w:color w:val="0F172A"/>
          <w:sz w:val="19"/>
        </w:rPr>
        <w:t xml:space="preserve">Secret &amp; Token Handling: </w:t>
      </w:r>
      <w:r>
        <w:rPr>
          <w:rFonts w:ascii="Segoe UI" w:hAnsi="Segoe UI"/>
          <w:color w:val="334155"/>
          <w:sz w:val="19"/>
        </w:rPr>
        <w:t>All external integration secrets, encryption keys, and system credentials are kept completely isolated as encrypted environment parameters within Render cloud configuration profiles.</w:t>
      </w:r>
    </w:p>
    <w:p>
      <w:pPr>
        <w:keepNext/>
        <w:spacing w:before="280" w:after="120"/>
      </w:pPr>
      <w:r>
        <w:rPr>
          <w:rFonts w:ascii="Segoe UI" w:hAnsi="Segoe UI"/>
          <w:b/>
          <w:color w:val="0284C7"/>
          <w:sz w:val="26"/>
        </w:rPr>
        <w:t>3.2 Monitoring &amp; Incident Management Matrix</w:t>
      </w:r>
    </w:p>
    <w:p>
      <w:pPr>
        <w:spacing w:after="160" w:line="276" w:lineRule="auto"/>
      </w:pPr>
      <w:r>
        <w:rPr>
          <w:rFonts w:ascii="Segoe UI" w:hAnsi="Segoe UI"/>
          <w:i w:val="0"/>
          <w:color w:val="334155"/>
          <w:sz w:val="19"/>
        </w:rPr>
        <w:t>The operations center utilizes automated tracking layers to log system deviations and coordinate alert escalations:</w:t>
      </w:r>
    </w:p>
    <w:tbl>
      <w:tblPr>
        <w:tblW w:type="auto" w:w="0"/>
        <w:jc w:val="center"/>
        <w:tblLook w:firstColumn="1" w:firstRow="1" w:lastColumn="0" w:lastRow="0" w:noHBand="0" w:noVBand="1" w:val="04A0"/>
      </w:tblPr>
      <w:tblGrid>
        <w:gridCol w:w="2257"/>
        <w:gridCol w:w="2257"/>
        <w:gridCol w:w="2257"/>
        <w:gridCol w:w="2257"/>
      </w:tblGrid>
      <w:tr>
        <w:tc>
          <w:tcPr>
            <w:tcW w:type="dxa" w:w="2257"/>
            <w:shd w:fill="0F172A"/>
            <w:tcMar>
              <w:top w:w="100" w:type="dxa"/>
              <w:bottom w:w="100" w:type="dxa"/>
              <w:left w:w="150" w:type="dxa"/>
              <w:right w:w="150" w:type="dxa"/>
            </w:tcMar>
          </w:tcPr>
          <w:p>
            <w:r>
              <w:rPr>
                <w:b/>
                <w:color w:val="FFFFFF"/>
              </w:rPr>
              <w:t>Observed Telemetry</w:t>
            </w:r>
          </w:p>
        </w:tc>
        <w:tc>
          <w:tcPr>
            <w:tcW w:type="dxa" w:w="2257"/>
            <w:shd w:fill="0F172A"/>
            <w:tcMar>
              <w:top w:w="100" w:type="dxa"/>
              <w:bottom w:w="100" w:type="dxa"/>
              <w:left w:w="150" w:type="dxa"/>
              <w:right w:w="150" w:type="dxa"/>
            </w:tcMar>
          </w:tcPr>
          <w:p>
            <w:r>
              <w:rPr>
                <w:b/>
                <w:color w:val="FFFFFF"/>
              </w:rPr>
              <w:t>Critical Trigger Threshold</w:t>
            </w:r>
          </w:p>
        </w:tc>
        <w:tc>
          <w:tcPr>
            <w:tcW w:type="dxa" w:w="2257"/>
            <w:shd w:fill="0F172A"/>
            <w:tcMar>
              <w:top w:w="100" w:type="dxa"/>
              <w:bottom w:w="100" w:type="dxa"/>
              <w:left w:w="150" w:type="dxa"/>
              <w:right w:w="150" w:type="dxa"/>
            </w:tcMar>
          </w:tcPr>
          <w:p>
            <w:r>
              <w:rPr>
                <w:b/>
                <w:color w:val="FFFFFF"/>
              </w:rPr>
              <w:t>Automated Operational Action</w:t>
            </w:r>
          </w:p>
        </w:tc>
        <w:tc>
          <w:tcPr>
            <w:tcW w:type="dxa" w:w="2257"/>
            <w:shd w:fill="0F172A"/>
            <w:tcMar>
              <w:top w:w="100" w:type="dxa"/>
              <w:bottom w:w="100" w:type="dxa"/>
              <w:left w:w="150" w:type="dxa"/>
              <w:right w:w="150" w:type="dxa"/>
            </w:tcMar>
          </w:tcPr>
          <w:p>
            <w:r>
              <w:rPr>
                <w:b/>
                <w:color w:val="FFFFFF"/>
              </w:rPr>
              <w:t>Tooling Stack</w:t>
            </w:r>
          </w:p>
        </w:tc>
      </w:tr>
      <w:tr>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API Error Rates</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&gt; 2.0% faults over 3 mins</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Paging notification dispatched to on-call SREs</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Datadog Logs</w:t>
            </w:r>
          </w:p>
        </w:tc>
      </w:tr>
      <w:tr>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shd w:fill="F8FAFC"/>
          </w:tcPr>
          <w:p>
            <w:r>
              <w:t>p95 Route Latency</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shd w:fill="F8FAFC"/>
          </w:tcPr>
          <w:p>
            <w:r>
              <w:t>Ingestion paths &gt; 800ms</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shd w:fill="F8FAFC"/>
          </w:tcPr>
          <w:p>
            <w:r>
              <w:t>Auto-scales container resource profiles</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shd w:fill="F8FAFC"/>
          </w:tcPr>
          <w:p>
            <w:r>
              <w:t>Render Telemetry</w:t>
            </w:r>
          </w:p>
        </w:tc>
      </w:tr>
      <w:tr>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Database Pools</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Active proxies &gt; 85% use</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Terminates lingering idle connections</w:t>
            </w:r>
          </w:p>
        </w:tc>
        <w:tc>
          <w:tcPr>
            <w:tcW w:type="dxa" w:w="2257"/>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PostgreSQL Orion</w:t>
            </w:r>
          </w:p>
        </w:tc>
      </w:tr>
    </w:tbl>
    <w:p>
      <w:pPr>
        <w:keepNext/>
        <w:spacing w:before="440" w:after="200"/>
      </w:pPr>
      <w:r>
        <w:rPr>
          <w:rFonts w:ascii="Segoe UI" w:hAnsi="Segoe UI"/>
          <w:b/>
          <w:color w:val="0F172A"/>
          <w:sz w:val="36"/>
        </w:rPr>
        <w:t>4. Production Post-Mortems &amp; Root Cause Analyses</w:t>
      </w:r>
    </w:p>
    <w:p>
      <w:pPr>
        <w:keepNext/>
        <w:spacing w:before="280" w:after="120"/>
      </w:pPr>
      <w:r>
        <w:rPr>
          <w:rFonts w:ascii="Segoe UI" w:hAnsi="Segoe UI"/>
          <w:b/>
          <w:color w:val="0284C7"/>
          <w:sz w:val="26"/>
        </w:rPr>
        <w:t>4.1 Case 01: Thread-Unsafe Server Chart Generation</w:t>
      </w:r>
    </w:p>
    <w:p>
      <w:pPr>
        <w:spacing w:after="160" w:line="276" w:lineRule="auto"/>
      </w:pPr>
      <w:r>
        <w:rPr>
          <w:rFonts w:ascii="Segoe UI" w:hAnsi="Segoe UI"/>
          <w:b/>
          <w:color w:val="0F172A"/>
          <w:sz w:val="19"/>
        </w:rPr>
        <w:t xml:space="preserve">Symptom: </w:t>
      </w:r>
      <w:r>
        <w:rPr>
          <w:rFonts w:ascii="Segoe UI" w:hAnsi="Segoe UI"/>
          <w:i w:val="0"/>
          <w:color w:val="334155"/>
          <w:sz w:val="19"/>
        </w:rPr>
        <w:t>Dashboard visualization pages threw severe 500 Internal Server Error exceptions for enterprise accounts under high concurrent user loads.</w:t>
      </w:r>
    </w:p>
    <w:p>
      <w:pPr>
        <w:spacing w:after="160" w:line="276" w:lineRule="auto"/>
      </w:pPr>
      <w:r>
        <w:rPr>
          <w:rFonts w:ascii="Segoe UI" w:hAnsi="Segoe UI"/>
          <w:b/>
          <w:color w:val="0F172A"/>
          <w:sz w:val="19"/>
        </w:rPr>
        <w:t xml:space="preserve">Root Cause: </w:t>
      </w:r>
      <w:r>
        <w:rPr>
          <w:rFonts w:ascii="Segoe UI" w:hAnsi="Segoe UI"/>
          <w:i w:val="0"/>
          <w:color w:val="334155"/>
          <w:sz w:val="19"/>
        </w:rPr>
        <w:t>The reporting module compiled chart visuals directly on the backend web server. Under multi-threaded worker loads, concurrent request threads modified a shared graphic engine context block, causing memory contamination and server crashes.</w:t>
      </w:r>
    </w:p>
    <w:p>
      <w:pPr>
        <w:spacing w:after="160" w:line="276" w:lineRule="auto"/>
      </w:pPr>
      <w:r>
        <w:rPr>
          <w:rFonts w:ascii="Segoe UI" w:hAnsi="Segoe UI"/>
          <w:b/>
          <w:color w:val="0F172A"/>
          <w:sz w:val="19"/>
        </w:rPr>
        <w:t xml:space="preserve">Resolution: </w:t>
      </w:r>
      <w:r>
        <w:rPr>
          <w:rFonts w:ascii="Segoe UI" w:hAnsi="Segoe UI"/>
          <w:i w:val="0"/>
          <w:color w:val="334155"/>
          <w:sz w:val="19"/>
        </w:rPr>
        <w:t>Refactored backend reporting endpoints to return raw, compact JSON data matrices. Chart generation was moved entirely to the client browser using lightweight SVG elements, completely removing chart rendering workloads from backend servers.</w:t>
      </w:r>
    </w:p>
    <w:tbl>
      <w:tblPr>
        <w:tblW w:type="auto" w:w="0"/>
        <w:jc w:val="center"/>
        <w:tblLook w:firstColumn="1" w:firstRow="1" w:lastColumn="0" w:lastRow="0" w:noHBand="0" w:noVBand="1" w:val="04A0"/>
      </w:tblPr>
      <w:tblGrid>
        <w:gridCol w:w="9029"/>
      </w:tblGrid>
      <w:tr>
        <w:tc>
          <w:tcPr>
            <w:tcW w:type="dxa" w:w="9029"/>
            <w:shd w:fill="F1F5F9"/>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80" w:after="80"/>
              <w:ind w:left="216"/>
            </w:pPr>
            <w:r>
              <w:rPr>
                <w:rFonts w:ascii="Consolas" w:hAnsi="Consolas"/>
                <w:color w:val="0F172A"/>
                <w:sz w:val="17"/>
              </w:rPr>
              <w:t>// Optimization Update: Programmatic SVG Array Mapping on Client UI</w:t>
              <w:br/>
              <w:t>function generateClientChart(jsonMetrics) {</w:t>
              <w:br/>
              <w:t xml:space="preserve">    const lines = jsonMetrics.map((m, idx) =&gt; `${idx * 30},${100 - m.risk * 80}`).join(' ');</w:t>
              <w:br/>
              <w:t xml:space="preserve">    document.getElementById('svg-view').innerHTML = `&lt;svg&gt;&lt;polyline points="${lines}"/&gt;&lt;/svg&gt;`;</w:t>
              <w:br/>
              <w:t>}</w:t>
            </w:r>
          </w:p>
        </w:tc>
      </w:tr>
    </w:tbl>
    <w:p>
      <w:pPr>
        <w:spacing w:after="80"/>
      </w:pPr>
    </w:p>
    <w:p>
      <w:pPr>
        <w:keepNext/>
        <w:spacing w:before="280" w:after="120"/>
      </w:pPr>
      <w:r>
        <w:rPr>
          <w:rFonts w:ascii="Segoe UI" w:hAnsi="Segoe UI"/>
          <w:b/>
          <w:color w:val="0284C7"/>
          <w:sz w:val="26"/>
        </w:rPr>
        <w:t>4.2 Case 02: Gunicorn Worker Request Starvation</w:t>
      </w:r>
    </w:p>
    <w:p>
      <w:pPr>
        <w:spacing w:after="160" w:line="276" w:lineRule="auto"/>
      </w:pPr>
      <w:r>
        <w:rPr>
          <w:rFonts w:ascii="Segoe UI" w:hAnsi="Segoe UI"/>
          <w:b/>
          <w:color w:val="0F172A"/>
          <w:sz w:val="19"/>
        </w:rPr>
        <w:t xml:space="preserve">Symptom: </w:t>
      </w:r>
      <w:r>
        <w:rPr>
          <w:rFonts w:ascii="Segoe UI" w:hAnsi="Segoe UI"/>
          <w:i w:val="0"/>
          <w:color w:val="334155"/>
          <w:sz w:val="19"/>
        </w:rPr>
        <w:t>Ingestion pipelines experienced severe response slowdowns and network connection drops during critical end-of-month filing windows.</w:t>
      </w:r>
    </w:p>
    <w:p>
      <w:pPr>
        <w:spacing w:after="160" w:line="276" w:lineRule="auto"/>
      </w:pPr>
      <w:r>
        <w:rPr>
          <w:rFonts w:ascii="Segoe UI" w:hAnsi="Segoe UI"/>
          <w:b/>
          <w:color w:val="0F172A"/>
          <w:sz w:val="19"/>
        </w:rPr>
        <w:t xml:space="preserve">Root Cause: </w:t>
      </w:r>
      <w:r>
        <w:rPr>
          <w:rFonts w:ascii="Segoe UI" w:hAnsi="Segoe UI"/>
          <w:i w:val="0"/>
          <w:color w:val="334155"/>
          <w:sz w:val="19"/>
        </w:rPr>
        <w:t>The production web app container was configured with standard synchronous Gunicorn workers. When multiple users submitted large blocks of unstructured data simultaneously for processing, worker processes blocked while waiting for external API network responses to resolve, starving the connection pool.</w:t>
      </w:r>
    </w:p>
    <w:p>
      <w:pPr>
        <w:spacing w:after="160" w:line="276" w:lineRule="auto"/>
      </w:pPr>
      <w:r>
        <w:rPr>
          <w:rFonts w:ascii="Segoe UI" w:hAnsi="Segoe UI"/>
          <w:b/>
          <w:color w:val="0F172A"/>
          <w:sz w:val="19"/>
        </w:rPr>
        <w:t xml:space="preserve">Resolution: </w:t>
      </w:r>
      <w:r>
        <w:rPr>
          <w:rFonts w:ascii="Segoe UI" w:hAnsi="Segoe UI"/>
          <w:i w:val="0"/>
          <w:color w:val="334155"/>
          <w:sz w:val="19"/>
        </w:rPr>
        <w:t>Upgraded web container deployment configurations to run asynchronous workers by wrapping Gunicorn with high-performance Uvicorn instances. This ensures waiting worker threads park while external APIs resolve, keeping servers free to process incoming application traffic.</w:t>
      </w:r>
    </w:p>
    <w:tbl>
      <w:tblPr>
        <w:tblW w:type="auto" w:w="0"/>
        <w:jc w:val="center"/>
        <w:tblLook w:firstColumn="1" w:firstRow="1" w:lastColumn="0" w:lastRow="0" w:noHBand="0" w:noVBand="1" w:val="04A0"/>
      </w:tblPr>
      <w:tblGrid>
        <w:gridCol w:w="9029"/>
      </w:tblGrid>
      <w:tr>
        <w:tc>
          <w:tcPr>
            <w:tcW w:type="dxa" w:w="9029"/>
            <w:shd w:fill="F1F5F9"/>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80" w:after="80"/>
              <w:ind w:left="216"/>
            </w:pPr>
            <w:r>
              <w:rPr>
                <w:rFonts w:ascii="Consolas" w:hAnsi="Consolas"/>
                <w:color w:val="0F172A"/>
                <w:sz w:val="17"/>
              </w:rPr>
              <w:t># Production Asynchronous Gunicorn Runbook Profile (gunicorn_config.py)</w:t>
              <w:br/>
              <w:t>bind = "0.0.0.0:10000"</w:t>
              <w:br/>
              <w:t>workers = 4  # Mathematical allocation target: (2 * Core Count) + 1</w:t>
              <w:br/>
              <w:t>worker_class = "uvicorn.workers.UvicornWorker"  # Async concurrent wrapper</w:t>
              <w:br/>
              <w:t>timeout = 60  # Protective execution threshold for long language requests</w:t>
            </w:r>
          </w:p>
        </w:tc>
      </w:tr>
    </w:tbl>
    <w:p>
      <w:pPr>
        <w:spacing w:after="80"/>
      </w:pPr>
    </w:p>
    <w:p>
      <w:pPr>
        <w:keepNext/>
        <w:spacing w:before="440" w:after="200"/>
      </w:pPr>
      <w:r>
        <w:rPr>
          <w:rFonts w:ascii="Segoe UI" w:hAnsi="Segoe UI"/>
          <w:b/>
          <w:color w:val="0F172A"/>
          <w:sz w:val="36"/>
        </w:rPr>
        <w:t>5. Disaster Recovery, Scaling &amp; Future Roadmap</w:t>
      </w:r>
    </w:p>
    <w:p>
      <w:pPr>
        <w:keepNext/>
        <w:spacing w:before="280" w:after="120"/>
      </w:pPr>
      <w:r>
        <w:rPr>
          <w:rFonts w:ascii="Segoe UI" w:hAnsi="Segoe UI"/>
          <w:b/>
          <w:color w:val="0284C7"/>
          <w:sz w:val="26"/>
        </w:rPr>
        <w:t>5.1 Backup &amp; Business Continuity Protocols</w:t>
      </w:r>
    </w:p>
    <w:p>
      <w:pPr>
        <w:pStyle w:val="ListBullet"/>
        <w:spacing w:after="60" w:line="276" w:lineRule="auto"/>
      </w:pPr>
      <w:r>
        <w:rPr>
          <w:rFonts w:ascii="Segoe UI" w:hAnsi="Segoe UI"/>
          <w:b/>
          <w:color w:val="0F172A"/>
          <w:sz w:val="19"/>
        </w:rPr>
        <w:t xml:space="preserve">Continuous Snapshot Strategy: </w:t>
      </w:r>
      <w:r>
        <w:rPr>
          <w:rFonts w:ascii="Segoe UI" w:hAnsi="Segoe UI"/>
          <w:color w:val="334155"/>
          <w:sz w:val="19"/>
        </w:rPr>
        <w:t>Point-in-time relational snapshots are automatically captured every 24 hours and stored across separate multi-region cloud object storage buckets.</w:t>
      </w:r>
    </w:p>
    <w:p>
      <w:pPr>
        <w:pStyle w:val="ListBullet"/>
        <w:spacing w:after="60" w:line="276" w:lineRule="auto"/>
      </w:pPr>
      <w:r>
        <w:rPr>
          <w:rFonts w:ascii="Segoe UI" w:hAnsi="Segoe UI"/>
          <w:b/>
          <w:color w:val="0F172A"/>
          <w:sz w:val="19"/>
        </w:rPr>
        <w:t xml:space="preserve">Automated Recovery Runway: </w:t>
      </w:r>
      <w:r>
        <w:rPr>
          <w:rFonts w:ascii="Segoe UI" w:hAnsi="Segoe UI"/>
          <w:color w:val="334155"/>
          <w:sz w:val="19"/>
        </w:rPr>
        <w:t>Platform routing profiles, container rules, and cache architectures are fully managed via declarative deployment files. This ensures our entire production environment can be re-provisioned and launched from scratch in under 12 minutes during a regional outage.</w:t>
      </w:r>
    </w:p>
    <w:p>
      <w:pPr>
        <w:keepNext/>
        <w:spacing w:before="280" w:after="120"/>
      </w:pPr>
      <w:r>
        <w:rPr>
          <w:rFonts w:ascii="Segoe UI" w:hAnsi="Segoe UI"/>
          <w:b/>
          <w:color w:val="0284C7"/>
          <w:sz w:val="26"/>
        </w:rPr>
        <w:t>5.2 Future Operations Roadmap</w:t>
      </w:r>
    </w:p>
    <w:p>
      <w:pPr>
        <w:pStyle w:val="ListBullet"/>
        <w:spacing w:after="60" w:line="276" w:lineRule="auto"/>
      </w:pPr>
      <w:r>
        <w:rPr>
          <w:rFonts w:ascii="Segoe UI" w:hAnsi="Segoe UI"/>
          <w:b/>
          <w:color w:val="0F172A"/>
          <w:sz w:val="19"/>
        </w:rPr>
        <w:t xml:space="preserve">Phase 1 - Core Banking Hooks: </w:t>
      </w:r>
      <w:r>
        <w:rPr>
          <w:rFonts w:ascii="Segoe UI" w:hAnsi="Segoe UI"/>
          <w:color w:val="334155"/>
          <w:sz w:val="19"/>
        </w:rPr>
        <w:t>Connect application workflows directly with major Indian corporate banking APIs to cross-reference tax challans and automate payment processing securely within the platform.</w:t>
      </w:r>
    </w:p>
    <w:p>
      <w:pPr>
        <w:pStyle w:val="ListBullet"/>
        <w:spacing w:after="60" w:line="276" w:lineRule="auto"/>
      </w:pPr>
      <w:r>
        <w:rPr>
          <w:rFonts w:ascii="Segoe UI" w:hAnsi="Segoe UI"/>
          <w:b/>
          <w:color w:val="0F172A"/>
          <w:sz w:val="19"/>
        </w:rPr>
        <w:t xml:space="preserve">Phase 2 - Notice Parsing: </w:t>
      </w:r>
      <w:r>
        <w:rPr>
          <w:rFonts w:ascii="Segoe UI" w:hAnsi="Segoe UI"/>
          <w:color w:val="334155"/>
          <w:sz w:val="19"/>
        </w:rPr>
        <w:t>Deploy advanced notice parsing models capable of reading official incoming government notices, instantly identifying the legal issues raised, and drafting initial response templates for partner CAs.</w:t>
      </w:r>
    </w:p>
    <w:p>
      <w:r>
        <w:br w:type="page"/>
      </w:r>
    </w:p>
    <w:p>
      <w:pPr>
        <w:keepNext/>
        <w:spacing w:before="440" w:after="200"/>
      </w:pPr>
      <w:r>
        <w:rPr>
          <w:rFonts w:ascii="Segoe UI" w:hAnsi="Segoe UI"/>
          <w:b/>
          <w:color w:val="0F172A"/>
          <w:sz w:val="36"/>
        </w:rPr>
        <w:t>6. Appendix: Suggested GitHub Operations Documentation Structure</w:t>
      </w:r>
    </w:p>
    <w:p>
      <w:pPr>
        <w:spacing w:after="160" w:line="276" w:lineRule="auto"/>
      </w:pPr>
      <w:r>
        <w:rPr>
          <w:rFonts w:ascii="Segoe UI" w:hAnsi="Segoe UI"/>
          <w:i w:val="0"/>
          <w:color w:val="334155"/>
          <w:sz w:val="19"/>
        </w:rPr>
        <w:t>To deploy these maintenance guides within an accessible GitHub environment, the DevOps team recommends organizing files across the following operational directory layout:</w:t>
      </w:r>
    </w:p>
    <w:tbl>
      <w:tblPr>
        <w:tblW w:type="auto" w:w="0"/>
        <w:jc w:val="center"/>
        <w:tblLook w:firstColumn="1" w:firstRow="1" w:lastColumn="0" w:lastRow="0" w:noHBand="0" w:noVBand="1" w:val="04A0"/>
      </w:tblPr>
      <w:tblGrid>
        <w:gridCol w:w="9029"/>
      </w:tblGrid>
      <w:tr>
        <w:tc>
          <w:tcPr>
            <w:tcW w:type="dxa" w:w="9029"/>
            <w:shd w:fill="F1F5F9"/>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80" w:after="80"/>
              <w:ind w:left="216"/>
            </w:pPr>
            <w:r>
              <w:rPr>
                <w:rFonts w:ascii="Consolas" w:hAnsi="Consolas"/>
                <w:color w:val="0F172A"/>
                <w:sz w:val="17"/>
              </w:rPr>
              <w:t>ops/</w:t>
              <w:br/>
              <w:t>├── README.md                           # Operations Documentation Index</w:t>
              <w:br/>
              <w:t>├── topology-summary.md                 # Cloud Clusters &amp; Architecture Overview</w:t>
              <w:br/>
              <w:t>├── change-management/</w:t>
              <w:br/>
              <w:t>│   ├── deployment-timeline.md          # Release History &amp; Version Logs</w:t>
              <w:br/>
              <w:t>│   └── release-governance.md           # Branch Strategies &amp; Approval Steps</w:t>
              <w:br/>
              <w:t>├── runbooks/</w:t>
              <w:br/>
              <w:t>│   ├── db-maintenance.md               # Vacuum Schedules &amp; Index Rules</w:t>
              <w:br/>
              <w:t>│   └── secret-isolation.md             # Vault Mappings &amp; Key Profiles</w:t>
              <w:br/>
              <w:t>├── incident-management/</w:t>
              <w:br/>
              <w:t>│   ├── alerts-escalation.md            # Target Thresholds &amp; Paging Loops</w:t>
              <w:br/>
              <w:t>│   └── post-mortems/</w:t>
              <w:br/>
              <w:t>│       ├── INC-02-chart-unsafe.md      # Chart Memory Contamination RCA</w:t>
              <w:br/>
              <w:t>│       └── INC-03-worker-starve.md     # Async Gunicorn Worker Fixes</w:t>
              <w:br/>
              <w:t>└── recovery-playbooks/</w:t>
              <w:br/>
              <w:t xml:space="preserve">    ├── disaster-recovery.md            # Snapshot Plans &amp; IaC Restores</w:t>
              <w:br/>
              <w:t xml:space="preserve">    └── rollback-protocols.md           # Code Reversals &amp; Hash Restores</w:t>
            </w:r>
          </w:p>
        </w:tc>
      </w:tr>
    </w:tbl>
    <w:p>
      <w:pPr>
        <w:spacing w:after="8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