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after="480"/>
      </w:pPr>
      <w:r>
        <w:rPr>
          <w:rFonts w:ascii="Segoe UI" w:hAnsi="Segoe UI"/>
          <w:b/>
          <w:i w:val="0"/>
          <w:color w:val="0284C7"/>
          <w:sz w:val="19"/>
        </w:rPr>
        <w:t>PRODUCT STRATEGY &amp; REQUIREMENT ARCHITECTURE</w:t>
      </w:r>
    </w:p>
    <w:p>
      <w:pPr>
        <w:spacing w:after="120"/>
      </w:pPr>
      <w:r>
        <w:rPr>
          <w:rFonts w:ascii="Segoe UI" w:hAnsi="Segoe UI"/>
          <w:b/>
          <w:i w:val="0"/>
          <w:color w:val="0F172A"/>
          <w:sz w:val="76"/>
        </w:rPr>
        <w:t>DeadlineOS</w:t>
      </w:r>
    </w:p>
    <w:p>
      <w:pPr>
        <w:spacing w:after="2880"/>
      </w:pPr>
      <w:r>
        <w:rPr>
          <w:rFonts w:ascii="Segoe UI" w:hAnsi="Segoe UI"/>
          <w:b w:val="0"/>
          <w:i w:val="0"/>
          <w:color w:val="475569"/>
          <w:sz w:val="30"/>
        </w:rPr>
        <w:t>An AI-Native Compliance Operating System for Indian SMBs</w:t>
      </w:r>
    </w:p>
    <w:p>
      <w:pPr>
        <w:spacing w:before="960"/>
      </w:pPr>
    </w:p>
    <w:tbl>
      <w:tblPr>
        <w:tblW w:type="auto" w:w="0"/>
        <w:jc w:val="left"/>
        <w:tblLayout w:type="fixed"/>
        <w:tblLook w:firstColumn="1" w:firstRow="1" w:lastColumn="0" w:lastRow="0" w:noHBand="0" w:noVBand="1" w:val="04A0"/>
      </w:tblPr>
      <w:tblGrid>
        <w:gridCol w:w="4514"/>
        <w:gridCol w:w="4514"/>
      </w:tblGrid>
      <w:tr>
        <w:tc>
          <w:tcPr>
            <w:tcW w:type="dxa" w:w="3168"/>
          </w:tcPr>
          <w:p>
            <w:pPr>
              <w:spacing w:after="80"/>
            </w:pPr>
            <w:r>
              <w:rPr>
                <w:rFonts w:ascii="Segoe UI" w:hAnsi="Segoe UI"/>
                <w:b/>
                <w:i w:val="0"/>
                <w:color w:val="64748B"/>
                <w:sz w:val="19"/>
              </w:rPr>
              <w:t>Document Control ID:</w:t>
            </w:r>
          </w:p>
        </w:tc>
        <w:tc>
          <w:tcPr>
            <w:tcW w:type="dxa" w:w="6192"/>
          </w:tcPr>
          <w:p>
            <w:pPr>
              <w:spacing w:after="80"/>
            </w:pPr>
            <w:r>
              <w:rPr>
                <w:rFonts w:ascii="Segoe UI" w:hAnsi="Segoe UI"/>
                <w:b w:val="0"/>
                <w:i w:val="0"/>
                <w:color w:val="0F172A"/>
                <w:sz w:val="19"/>
              </w:rPr>
              <w:t>DOS-BRD-2026-V1.0</w:t>
            </w:r>
          </w:p>
        </w:tc>
      </w:tr>
      <w:tr>
        <w:tc>
          <w:tcPr>
            <w:tcW w:type="dxa" w:w="3168"/>
          </w:tcPr>
          <w:p>
            <w:pPr>
              <w:spacing w:after="80"/>
            </w:pPr>
            <w:r>
              <w:rPr>
                <w:rFonts w:ascii="Segoe UI" w:hAnsi="Segoe UI"/>
                <w:b/>
                <w:i w:val="0"/>
                <w:color w:val="64748B"/>
                <w:sz w:val="19"/>
              </w:rPr>
              <w:t>Target Environment:</w:t>
            </w:r>
          </w:p>
        </w:tc>
        <w:tc>
          <w:tcPr>
            <w:tcW w:type="dxa" w:w="6192"/>
          </w:tcPr>
          <w:p>
            <w:pPr>
              <w:spacing w:after="80"/>
            </w:pPr>
            <w:r>
              <w:rPr>
                <w:rFonts w:ascii="Segoe UI" w:hAnsi="Segoe UI"/>
                <w:b w:val="0"/>
                <w:i w:val="0"/>
                <w:color w:val="0F172A"/>
                <w:sz w:val="19"/>
              </w:rPr>
              <w:t>Production Framework (LIVE_URL_HERE)</w:t>
            </w:r>
          </w:p>
        </w:tc>
      </w:tr>
      <w:tr>
        <w:tc>
          <w:tcPr>
            <w:tcW w:type="dxa" w:w="3168"/>
          </w:tcPr>
          <w:p>
            <w:pPr>
              <w:spacing w:after="80"/>
            </w:pPr>
            <w:r>
              <w:rPr>
                <w:rFonts w:ascii="Segoe UI" w:hAnsi="Segoe UI"/>
                <w:b/>
                <w:i w:val="0"/>
                <w:color w:val="64748B"/>
                <w:sz w:val="19"/>
              </w:rPr>
              <w:t>Author / Position:</w:t>
            </w:r>
          </w:p>
        </w:tc>
        <w:tc>
          <w:tcPr>
            <w:tcW w:type="dxa" w:w="6192"/>
          </w:tcPr>
          <w:p>
            <w:pPr>
              <w:spacing w:after="80"/>
            </w:pPr>
            <w:r>
              <w:rPr>
                <w:rFonts w:ascii="Segoe UI" w:hAnsi="Segoe UI"/>
                <w:b w:val="0"/>
                <w:i w:val="0"/>
                <w:color w:val="0F172A"/>
                <w:sz w:val="19"/>
              </w:rPr>
              <w:t>Principal Product Architect &amp; SaaS Strategy Lead</w:t>
            </w:r>
          </w:p>
        </w:tc>
      </w:tr>
      <w:tr>
        <w:tc>
          <w:tcPr>
            <w:tcW w:type="dxa" w:w="3168"/>
          </w:tcPr>
          <w:p>
            <w:pPr>
              <w:spacing w:after="80"/>
            </w:pPr>
            <w:r>
              <w:rPr>
                <w:rFonts w:ascii="Segoe UI" w:hAnsi="Segoe UI"/>
                <w:b/>
                <w:i w:val="0"/>
                <w:color w:val="64748B"/>
                <w:sz w:val="19"/>
              </w:rPr>
              <w:t>Date of Issuance:</w:t>
            </w:r>
          </w:p>
        </w:tc>
        <w:tc>
          <w:tcPr>
            <w:tcW w:type="dxa" w:w="6192"/>
          </w:tcPr>
          <w:p>
            <w:pPr>
              <w:spacing w:after="80"/>
            </w:pPr>
            <w:r>
              <w:rPr>
                <w:rFonts w:ascii="Segoe UI" w:hAnsi="Segoe UI"/>
                <w:b w:val="0"/>
                <w:i w:val="0"/>
                <w:color w:val="0F172A"/>
                <w:sz w:val="19"/>
              </w:rPr>
              <w:t>May 23, 2026</w:t>
            </w:r>
          </w:p>
        </w:tc>
      </w:tr>
      <w:tr>
        <w:tc>
          <w:tcPr>
            <w:tcW w:type="dxa" w:w="3168"/>
          </w:tcPr>
          <w:p>
            <w:pPr>
              <w:spacing w:after="80"/>
            </w:pPr>
            <w:r>
              <w:rPr>
                <w:rFonts w:ascii="Segoe UI" w:hAnsi="Segoe UI"/>
                <w:b/>
                <w:i w:val="0"/>
                <w:color w:val="64748B"/>
                <w:sz w:val="19"/>
              </w:rPr>
              <w:t>Security Classification:</w:t>
            </w:r>
          </w:p>
        </w:tc>
        <w:tc>
          <w:tcPr>
            <w:tcW w:type="dxa" w:w="6192"/>
          </w:tcPr>
          <w:p>
            <w:pPr>
              <w:spacing w:after="80"/>
            </w:pPr>
            <w:r>
              <w:rPr>
                <w:rFonts w:ascii="Segoe UI" w:hAnsi="Segoe UI"/>
                <w:b w:val="0"/>
                <w:i w:val="0"/>
                <w:color w:val="0F172A"/>
                <w:sz w:val="19"/>
              </w:rPr>
              <w:t>Proprietary &amp; Confidential - Authorized Internal R&amp;D Only</w:t>
            </w:r>
          </w:p>
        </w:tc>
      </w:tr>
    </w:tbl>
    <w:p>
      <w:r>
        <w:br w:type="page"/>
      </w:r>
    </w:p>
    <w:p>
      <w:pPr>
        <w:keepNext/>
        <w:spacing w:before="480" w:after="240"/>
      </w:pPr>
      <w:r>
        <w:rPr>
          <w:rFonts w:ascii="Segoe UI" w:hAnsi="Segoe UI"/>
          <w:b/>
          <w:i w:val="0"/>
          <w:color w:val="0F172A"/>
          <w:sz w:val="40"/>
        </w:rPr>
        <w:t>1. Executive Summary &amp; Strategic Foundations</w:t>
      </w:r>
    </w:p>
    <w:p>
      <w:pPr>
        <w:spacing w:after="200" w:line="276" w:lineRule="auto"/>
      </w:pPr>
      <w:r>
        <w:rPr>
          <w:rFonts w:ascii="Segoe UI" w:hAnsi="Segoe UI"/>
          <w:b w:val="0"/>
          <w:i w:val="0"/>
          <w:color w:val="334155"/>
          <w:sz w:val="20"/>
        </w:rPr>
        <w:t>DeadlineOS is a production-deployed, enterprise-grade, AI-native Compliance Operating System designed specifically for the Indian Mid-Market and Small/Medium Business (SMB) ecosystem. The platform acts as an operational system of record for compliance execution, completely automating the parsing, mapping, orchestration, and validation of regulatory filing workflows across various state and central legal structures.</w:t>
      </w:r>
    </w:p>
    <w:p>
      <w:pPr>
        <w:keepNext/>
        <w:spacing w:before="320" w:after="160"/>
      </w:pPr>
      <w:r>
        <w:rPr>
          <w:rFonts w:ascii="Segoe UI" w:hAnsi="Segoe UI"/>
          <w:b/>
          <w:i w:val="0"/>
          <w:color w:val="0284C7"/>
          <w:sz w:val="28"/>
        </w:rPr>
        <w:t>1.1 Product Vision</w:t>
      </w:r>
    </w:p>
    <w:p>
      <w:pPr>
        <w:spacing w:after="200" w:line="276" w:lineRule="auto"/>
      </w:pPr>
      <w:r>
        <w:rPr>
          <w:rFonts w:ascii="Segoe UI" w:hAnsi="Segoe UI"/>
          <w:b w:val="0"/>
          <w:i w:val="0"/>
          <w:color w:val="334155"/>
          <w:sz w:val="20"/>
        </w:rPr>
        <w:t>To become the foundational digital compliance infrastructure for Indian commerce, changing corporate regulatory handling from a chaotic, manual chore into a systematic, low-friction pipeline. The platform ensures that critical filing deadlines are tracked and systematically verified before penalties can occur.</w:t>
      </w:r>
    </w:p>
    <w:p>
      <w:pPr>
        <w:keepNext/>
        <w:spacing w:before="320" w:after="160"/>
      </w:pPr>
      <w:r>
        <w:rPr>
          <w:rFonts w:ascii="Segoe UI" w:hAnsi="Segoe UI"/>
          <w:b/>
          <w:i w:val="0"/>
          <w:color w:val="0284C7"/>
          <w:sz w:val="28"/>
        </w:rPr>
        <w:t>1.2 Mission Statement</w:t>
      </w:r>
    </w:p>
    <w:p>
      <w:pPr>
        <w:spacing w:after="200" w:line="276" w:lineRule="auto"/>
      </w:pPr>
      <w:r>
        <w:rPr>
          <w:rFonts w:ascii="Segoe UI" w:hAnsi="Segoe UI"/>
          <w:b w:val="0"/>
          <w:i w:val="0"/>
          <w:color w:val="334155"/>
          <w:sz w:val="20"/>
        </w:rPr>
        <w:t>To eliminate compliance risk for Indian SMBs by providing clear operational visibility, structured document collection workflows, and automated communication loops that seamlessly bridge internal company accounting teams with outside advisory agencies.</w:t>
      </w:r>
    </w:p>
    <w:p>
      <w:pPr>
        <w:keepNext/>
        <w:spacing w:before="320" w:after="160"/>
      </w:pPr>
      <w:r>
        <w:rPr>
          <w:rFonts w:ascii="Segoe UI" w:hAnsi="Segoe UI"/>
          <w:b/>
          <w:i w:val="0"/>
          <w:color w:val="0284C7"/>
          <w:sz w:val="28"/>
        </w:rPr>
        <w:t>1.3 Product Identity</w:t>
      </w:r>
    </w:p>
    <w:p>
      <w:pPr>
        <w:spacing w:after="200" w:line="276" w:lineRule="auto"/>
      </w:pPr>
      <w:r>
        <w:rPr>
          <w:rFonts w:ascii="Segoe UI" w:hAnsi="Segoe UI"/>
          <w:b w:val="0"/>
          <w:i w:val="0"/>
          <w:color w:val="334155"/>
          <w:sz w:val="20"/>
        </w:rPr>
        <w:t>DeadlineOS is strictly defined as an enterprise compliance operating system and filing orchestration engine. It is explicitly not a generic productivity application, personal task manager, or standard note-taking tool. Every product feature, data schema, and orchestration pipeline is tailored to handle specific Indian tax laws, corporate structures, and filing validation rules.</w:t>
      </w:r>
    </w:p>
    <w:p>
      <w:pPr>
        <w:keepNext/>
        <w:spacing w:before="480" w:after="240"/>
      </w:pPr>
      <w:r>
        <w:rPr>
          <w:rFonts w:ascii="Segoe UI" w:hAnsi="Segoe UI"/>
          <w:b/>
          <w:i w:val="0"/>
          <w:color w:val="0F172A"/>
          <w:sz w:val="40"/>
        </w:rPr>
        <w:t>2. Problem Statement &amp; Market Opportunity</w:t>
      </w:r>
    </w:p>
    <w:p>
      <w:pPr>
        <w:keepNext/>
        <w:spacing w:before="320" w:after="160"/>
      </w:pPr>
      <w:r>
        <w:rPr>
          <w:rFonts w:ascii="Segoe UI" w:hAnsi="Segoe UI"/>
          <w:b/>
          <w:i w:val="0"/>
          <w:color w:val="0284C7"/>
          <w:sz w:val="28"/>
        </w:rPr>
        <w:t>2.1 Problem Statement</w:t>
      </w:r>
    </w:p>
    <w:p>
      <w:pPr>
        <w:spacing w:after="200" w:line="276" w:lineRule="auto"/>
      </w:pPr>
      <w:r>
        <w:rPr>
          <w:rFonts w:ascii="Segoe UI" w:hAnsi="Segoe UI"/>
          <w:b w:val="0"/>
          <w:i w:val="0"/>
          <w:color w:val="334155"/>
          <w:sz w:val="20"/>
        </w:rPr>
        <w:t>Indian businesses operate within an intricate regulatory environment overseen by multiple government bodies, including the Central Board of Indirect Taxes and Customs (CBIC), the Income Tax Department, the Ministry of Corporate Affairs (MCA), and state labor boards. Currently, mid-market companies handle these strict requirements through fragmented methods like Excel files, unorganized WhatsApp messages, and manual follow-ups with Chartered Accountants (CAs). This approach creates severe operational risks:</w:t>
      </w:r>
    </w:p>
    <w:p>
      <w:pPr>
        <w:pStyle w:val="ListBullet"/>
        <w:spacing w:after="80" w:line="276" w:lineRule="auto"/>
      </w:pPr>
      <w:r>
        <w:rPr>
          <w:rFonts w:ascii="Segoe UI" w:hAnsi="Segoe UI"/>
          <w:b/>
          <w:i w:val="0"/>
          <w:color w:val="334155"/>
          <w:sz w:val="20"/>
        </w:rPr>
        <w:t>Financial Penalty Traps:</w:t>
      </w:r>
      <w:r>
        <w:rPr>
          <w:rFonts w:ascii="Segoe UI" w:hAnsi="Segoe UI"/>
          <w:b w:val="0"/>
          <w:i w:val="0"/>
          <w:color w:val="334155"/>
          <w:sz w:val="20"/>
        </w:rPr>
        <w:t>Compounding daily late fees under Section 50 of the CGST Act and fixed daily statutory interest charges for overdue filings.</w:t>
      </w:r>
    </w:p>
    <w:p>
      <w:pPr>
        <w:pStyle w:val="ListBullet"/>
        <w:spacing w:after="80" w:line="276" w:lineRule="auto"/>
      </w:pPr>
      <w:r>
        <w:rPr>
          <w:rFonts w:ascii="Segoe UI" w:hAnsi="Segoe UI"/>
          <w:b/>
          <w:i w:val="0"/>
          <w:color w:val="334155"/>
          <w:sz w:val="20"/>
        </w:rPr>
        <w:t>Communication Breakdown:</w:t>
      </w:r>
      <w:r>
        <w:rPr>
          <w:rFonts w:ascii="Segoe UI" w:hAnsi="Segoe UI"/>
          <w:b w:val="0"/>
          <w:i w:val="0"/>
          <w:color w:val="334155"/>
          <w:sz w:val="20"/>
        </w:rPr>
        <w:t>Unstructured text updates and split document versions across email or chat history lead to critical data gaps.</w:t>
      </w:r>
    </w:p>
    <w:p>
      <w:pPr>
        <w:pStyle w:val="ListBullet"/>
        <w:spacing w:after="80" w:line="276" w:lineRule="auto"/>
      </w:pPr>
      <w:r>
        <w:rPr>
          <w:rFonts w:ascii="Segoe UI" w:hAnsi="Segoe UI"/>
          <w:b/>
          <w:i w:val="0"/>
          <w:color w:val="334155"/>
          <w:sz w:val="20"/>
        </w:rPr>
        <w:t>Operational Blind Spots:</w:t>
      </w:r>
      <w:r>
        <w:rPr>
          <w:rFonts w:ascii="Segoe UI" w:hAnsi="Segoe UI"/>
          <w:b w:val="0"/>
          <w:i w:val="0"/>
          <w:color w:val="334155"/>
          <w:sz w:val="20"/>
        </w:rPr>
        <w:t>Business operators have no direct visibility into their real-time filing readiness, exposing firms to surprise tax notices and frozen corporate accounts.</w:t>
      </w:r>
    </w:p>
    <w:p>
      <w:pPr>
        <w:keepNext/>
        <w:spacing w:before="320" w:after="160"/>
      </w:pPr>
      <w:r>
        <w:rPr>
          <w:rFonts w:ascii="Segoe UI" w:hAnsi="Segoe UI"/>
          <w:b/>
          <w:i w:val="0"/>
          <w:color w:val="0284C7"/>
          <w:sz w:val="28"/>
        </w:rPr>
        <w:t>2.2 Market Opportunity &amp; Existing Gaps</w:t>
      </w:r>
    </w:p>
    <w:p>
      <w:pPr>
        <w:spacing w:after="200" w:line="276" w:lineRule="auto"/>
      </w:pPr>
      <w:r>
        <w:rPr>
          <w:rFonts w:ascii="Segoe UI" w:hAnsi="Segoe UI"/>
          <w:b w:val="0"/>
          <w:i w:val="0"/>
          <w:color w:val="334155"/>
          <w:sz w:val="20"/>
        </w:rPr>
        <w:t>The Indian business space contains over 63 million registered enterprises rapidly modernizing their daily internal operations. While existing accounting platforms focus heavily on ledger entry or post-facto invoice generation, they do not manage the compliance workflow itself. They fail to track file readiness, guide document handoffs between entities, or proactively coordinate execution across internal and external teams. DeadlineOS directly addresses this structural gap.</w:t>
      </w:r>
    </w:p>
    <w:p>
      <w:pPr>
        <w:keepNext/>
        <w:spacing w:before="480" w:after="240"/>
      </w:pPr>
      <w:r>
        <w:rPr>
          <w:rFonts w:ascii="Segoe UI" w:hAnsi="Segoe UI"/>
          <w:b/>
          <w:i w:val="0"/>
          <w:color w:val="0F172A"/>
          <w:sz w:val="40"/>
        </w:rPr>
        <w:t>3. Business Objectives &amp; Success Metrics</w:t>
      </w:r>
    </w:p>
    <w:p>
      <w:pPr>
        <w:keepNext/>
        <w:spacing w:before="320" w:after="160"/>
      </w:pPr>
      <w:r>
        <w:rPr>
          <w:rFonts w:ascii="Segoe UI" w:hAnsi="Segoe UI"/>
          <w:b/>
          <w:i w:val="0"/>
          <w:color w:val="0284C7"/>
          <w:sz w:val="28"/>
        </w:rPr>
        <w:t>3.1 Business Objectives</w:t>
      </w:r>
    </w:p>
    <w:p>
      <w:pPr>
        <w:pStyle w:val="ListBullet"/>
        <w:spacing w:after="80" w:line="276" w:lineRule="auto"/>
      </w:pPr>
      <w:r>
        <w:rPr>
          <w:rFonts w:ascii="Segoe UI" w:hAnsi="Segoe UI"/>
          <w:b/>
          <w:i w:val="0"/>
          <w:color w:val="334155"/>
          <w:sz w:val="20"/>
        </w:rPr>
        <w:t>Minimize Penalty Exposure:</w:t>
      </w:r>
      <w:r>
        <w:rPr>
          <w:rFonts w:ascii="Segoe UI" w:hAnsi="Segoe UI"/>
          <w:b w:val="0"/>
          <w:i w:val="0"/>
          <w:color w:val="334155"/>
          <w:sz w:val="20"/>
        </w:rPr>
        <w:t>Achieve an average 90% drop in statutory late fees and penalty outlays within 60 days of platform integration.</w:t>
      </w:r>
    </w:p>
    <w:p>
      <w:pPr>
        <w:pStyle w:val="ListBullet"/>
        <w:spacing w:after="80" w:line="276" w:lineRule="auto"/>
      </w:pPr>
      <w:r>
        <w:rPr>
          <w:rFonts w:ascii="Segoe UI" w:hAnsi="Segoe UI"/>
          <w:b/>
          <w:i w:val="0"/>
          <w:color w:val="334155"/>
          <w:sz w:val="20"/>
        </w:rPr>
        <w:t>Accelerate Operational Speed:</w:t>
      </w:r>
      <w:r>
        <w:rPr>
          <w:rFonts w:ascii="Segoe UI" w:hAnsi="Segoe UI"/>
          <w:b w:val="0"/>
          <w:i w:val="0"/>
          <w:color w:val="334155"/>
          <w:sz w:val="20"/>
        </w:rPr>
        <w:t>Compress the data-gathering and verification runway from 14 days down to 3 days or less.</w:t>
      </w:r>
    </w:p>
    <w:p>
      <w:pPr>
        <w:pStyle w:val="ListBullet"/>
        <w:spacing w:after="80" w:line="276" w:lineRule="auto"/>
      </w:pPr>
      <w:r>
        <w:rPr>
          <w:rFonts w:ascii="Segoe UI" w:hAnsi="Segoe UI"/>
          <w:b/>
          <w:i w:val="0"/>
          <w:color w:val="334155"/>
          <w:sz w:val="20"/>
        </w:rPr>
        <w:t>Drive Multi-Entity Expansion:</w:t>
      </w:r>
      <w:r>
        <w:rPr>
          <w:rFonts w:ascii="Segoe UI" w:hAnsi="Segoe UI"/>
          <w:b w:val="0"/>
          <w:i w:val="0"/>
          <w:color w:val="334155"/>
          <w:sz w:val="20"/>
        </w:rPr>
        <w:t>Maintain a Net Revenue Retention (NRR) rate exceeding 130% by simplifying data tracking across subsidiary operations, state branches, and partner companies.</w:t>
      </w:r>
    </w:p>
    <w:p>
      <w:pPr>
        <w:keepNext/>
        <w:spacing w:before="320" w:after="160"/>
      </w:pPr>
      <w:r>
        <w:rPr>
          <w:rFonts w:ascii="Segoe UI" w:hAnsi="Segoe UI"/>
          <w:b/>
          <w:i w:val="0"/>
          <w:color w:val="0284C7"/>
          <w:sz w:val="28"/>
        </w:rPr>
        <w:t>3.2 Success Metrics Matrix</w:t>
      </w:r>
    </w:p>
    <w:p>
      <w:pPr>
        <w:spacing w:after="200" w:line="276" w:lineRule="auto"/>
      </w:pPr>
      <w:r>
        <w:rPr>
          <w:rFonts w:ascii="Segoe UI" w:hAnsi="Segoe UI"/>
          <w:b w:val="0"/>
          <w:i w:val="0"/>
          <w:color w:val="334155"/>
          <w:sz w:val="20"/>
        </w:rPr>
        <w:t>The system monitors platform adoption, accuracy, and operational health through strict telemetry indicators:</w:t>
      </w:r>
    </w:p>
    <w:tbl>
      <w:tblPr>
        <w:tblW w:type="auto" w:w="0"/>
        <w:jc w:val="center"/>
        <w:tblLook w:firstColumn="1" w:firstRow="1" w:lastColumn="0" w:lastRow="0" w:noHBand="0" w:noVBand="1" w:val="04A0"/>
      </w:tblPr>
      <w:tblGrid>
        <w:gridCol w:w="3010"/>
        <w:gridCol w:w="3010"/>
        <w:gridCol w:w="3010"/>
      </w:tblGrid>
      <w:tr>
        <w:tc>
          <w:tcPr>
            <w:tcW w:type="dxa" w:w="3010"/>
            <w:shd w:fill="0F172A"/>
            <w:tcMar>
              <w:top w:w="100" w:type="dxa"/>
              <w:bottom w:w="100" w:type="dxa"/>
              <w:left w:w="150" w:type="dxa"/>
              <w:right w:w="150" w:type="dxa"/>
            </w:tcMar>
          </w:tcPr>
          <w:p>
            <w:r>
              <w:rPr>
                <w:b/>
                <w:color w:val="FFFFFF"/>
              </w:rPr>
              <w:t>Metric Classification</w:t>
            </w:r>
          </w:p>
        </w:tc>
        <w:tc>
          <w:tcPr>
            <w:tcW w:type="dxa" w:w="3010"/>
            <w:shd w:fill="0F172A"/>
            <w:tcMar>
              <w:top w:w="100" w:type="dxa"/>
              <w:bottom w:w="100" w:type="dxa"/>
              <w:left w:w="150" w:type="dxa"/>
              <w:right w:w="150" w:type="dxa"/>
            </w:tcMar>
          </w:tcPr>
          <w:p>
            <w:r>
              <w:rPr>
                <w:b/>
                <w:color w:val="FFFFFF"/>
              </w:rPr>
              <w:t>Target Operational Baseline</w:t>
            </w:r>
          </w:p>
        </w:tc>
        <w:tc>
          <w:tcPr>
            <w:tcW w:type="dxa" w:w="3010"/>
            <w:shd w:fill="0F172A"/>
            <w:tcMar>
              <w:top w:w="100" w:type="dxa"/>
              <w:bottom w:w="100" w:type="dxa"/>
              <w:left w:w="150" w:type="dxa"/>
              <w:right w:w="150" w:type="dxa"/>
            </w:tcMar>
          </w:tcPr>
          <w:p>
            <w:r>
              <w:rPr>
                <w:b/>
                <w:color w:val="FFFFFF"/>
              </w:rPr>
              <w:t>Primary Tracking Mechanism</w:t>
            </w:r>
          </w:p>
        </w:tc>
      </w:tr>
      <w:tr>
        <w:tc>
          <w:tcPr>
            <w:tcW w:type="dxa" w:w="3010"/>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Ingestion Parsing Accuracy</w:t>
            </w:r>
          </w:p>
        </w:tc>
        <w:tc>
          <w:tcPr>
            <w:tcW w:type="dxa" w:w="3010"/>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&gt;= 99.4% correct field extraction from unstructured input</w:t>
            </w:r>
          </w:p>
        </w:tc>
        <w:tc>
          <w:tcPr>
            <w:tcW w:type="dxa" w:w="3010"/>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Pydantic validation logs</w:t>
            </w:r>
          </w:p>
        </w:tc>
      </w:tr>
      <w:tr>
        <w:tc>
          <w:tcPr>
            <w:tcW w:type="dxa" w:w="3010"/>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shd w:fill="F8FAFC"/>
          </w:tcPr>
          <w:p>
            <w:r>
              <w:t>Filing Path Latency (p95)</w:t>
            </w:r>
          </w:p>
        </w:tc>
        <w:tc>
          <w:tcPr>
            <w:tcW w:type="dxa" w:w="3010"/>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shd w:fill="F8FAFC"/>
          </w:tcPr>
          <w:p>
            <w:r>
              <w:t>&lt;= 2.5 seconds processing runtime</w:t>
            </w:r>
          </w:p>
        </w:tc>
        <w:tc>
          <w:tcPr>
            <w:tcW w:type="dxa" w:w="3010"/>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shd w:fill="F8FAFC"/>
          </w:tcPr>
          <w:p>
            <w:r>
              <w:t>Datadog APM tracing paths</w:t>
            </w:r>
          </w:p>
        </w:tc>
      </w:tr>
      <w:tr>
        <w:tc>
          <w:tcPr>
            <w:tcW w:type="dxa" w:w="3010"/>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Application Stickiness Ratio</w:t>
            </w:r>
          </w:p>
        </w:tc>
        <w:tc>
          <w:tcPr>
            <w:tcW w:type="dxa" w:w="3010"/>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&gt;= 55% Daily Active / Monthly Active Users (DAU/MAU)</w:t>
            </w:r>
          </w:p>
        </w:tc>
        <w:tc>
          <w:tcPr>
            <w:tcW w:type="dxa" w:w="3010"/>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Amplitude telemetry tracking</w:t>
            </w:r>
          </w:p>
        </w:tc>
      </w:tr>
    </w:tbl>
    <w:p>
      <w:pPr>
        <w:keepNext/>
        <w:spacing w:before="480" w:after="240"/>
      </w:pPr>
      <w:r>
        <w:rPr>
          <w:rFonts w:ascii="Segoe UI" w:hAnsi="Segoe UI"/>
          <w:b/>
          <w:i w:val="0"/>
          <w:color w:val="0F172A"/>
          <w:sz w:val="40"/>
        </w:rPr>
        <w:t>4. User Personas &amp; Customer Journey</w:t>
      </w:r>
    </w:p>
    <w:p>
      <w:pPr>
        <w:keepNext/>
        <w:spacing w:before="320" w:after="160"/>
      </w:pPr>
      <w:r>
        <w:rPr>
          <w:rFonts w:ascii="Segoe UI" w:hAnsi="Segoe UI"/>
          <w:b/>
          <w:i w:val="0"/>
          <w:color w:val="0284C7"/>
          <w:sz w:val="28"/>
        </w:rPr>
        <w:t>4.1 Primary User: The Multi-Entity Managing Promoter</w:t>
      </w:r>
    </w:p>
    <w:p>
      <w:pPr>
        <w:spacing w:after="200" w:line="276" w:lineRule="auto"/>
      </w:pPr>
      <w:r>
        <w:rPr>
          <w:rFonts w:ascii="Segoe UI" w:hAnsi="Segoe UI"/>
          <w:b w:val="0"/>
          <w:i w:val="0"/>
          <w:color w:val="334155"/>
          <w:sz w:val="20"/>
        </w:rPr>
        <w:t>Anand Hegde, Managing Director of Hegde Industrial Components. Anand manages 3 distinct corporate entities with operations spread across Karnataka and Tamil Nadu. He struggles with a lack of real-time visibility into whether his monthly GST and quarterly TDS obligations are being verified and completed on schedule. He is exposed to surprise statutory notices because he relies on unstructured chat updates from internal accounts teams and external consultants.</w:t>
      </w:r>
    </w:p>
    <w:p>
      <w:pPr>
        <w:keepNext/>
        <w:spacing w:before="320" w:after="160"/>
      </w:pPr>
      <w:r>
        <w:rPr>
          <w:rFonts w:ascii="Segoe UI" w:hAnsi="Segoe UI"/>
          <w:b/>
          <w:i w:val="0"/>
          <w:color w:val="0284C7"/>
          <w:sz w:val="28"/>
        </w:rPr>
        <w:t>4.2 Secondary User: The High-Volume Consultant CA</w:t>
      </w:r>
    </w:p>
    <w:p>
      <w:pPr>
        <w:spacing w:after="200" w:line="276" w:lineRule="auto"/>
      </w:pPr>
      <w:r>
        <w:rPr>
          <w:rFonts w:ascii="Segoe UI" w:hAnsi="Segoe UI"/>
          <w:b w:val="0"/>
          <w:i w:val="0"/>
          <w:color w:val="334155"/>
          <w:sz w:val="20"/>
        </w:rPr>
        <w:t>Neha Kulkarni, Senior Partner at Kulkarni Tax Associates. Neha's accounting firm manages statutory compliance portfolios for 110 mid-market corporate clients. Her primary operational bottleneck is the 'deadline crunch'—clients sending incomplete sales registers, bank challans, and data sheets late on the night of filing deadlines, causing massive team stress and delivery logjams.</w:t>
      </w:r>
    </w:p>
    <w:p>
      <w:pPr>
        <w:keepNext/>
        <w:spacing w:before="320" w:after="160"/>
      </w:pPr>
      <w:r>
        <w:rPr>
          <w:rFonts w:ascii="Segoe UI" w:hAnsi="Segoe UI"/>
          <w:b/>
          <w:i w:val="0"/>
          <w:color w:val="0284C7"/>
          <w:sz w:val="28"/>
        </w:rPr>
        <w:t>4.3 Customer Journey Overview</w:t>
      </w:r>
    </w:p>
    <w:p>
      <w:pPr>
        <w:spacing w:after="200" w:line="276" w:lineRule="auto"/>
      </w:pPr>
      <w:r>
        <w:rPr>
          <w:rFonts w:ascii="Segoe UI" w:hAnsi="Segoe UI"/>
          <w:b w:val="0"/>
          <w:i w:val="0"/>
          <w:color w:val="334155"/>
          <w:sz w:val="20"/>
        </w:rPr>
        <w:t>The typical user journey shifts away from reactive fire-fighting toward an organized, automated verification loop:</w:t>
      </w:r>
    </w:p>
    <w:p>
      <w:pPr>
        <w:pStyle w:val="ListBullet"/>
        <w:spacing w:after="80" w:line="276" w:lineRule="auto"/>
      </w:pPr>
      <w:r>
        <w:rPr>
          <w:rFonts w:ascii="Segoe UI" w:hAnsi="Segoe UI"/>
          <w:b/>
          <w:i w:val="0"/>
          <w:color w:val="334155"/>
          <w:sz w:val="20"/>
        </w:rPr>
        <w:t>Stage 1 - Automated Ingestion:</w:t>
      </w:r>
      <w:r>
        <w:rPr>
          <w:rFonts w:ascii="Segoe UI" w:hAnsi="Segoe UI"/>
          <w:b w:val="0"/>
          <w:i w:val="0"/>
          <w:color w:val="334155"/>
          <w:sz w:val="20"/>
        </w:rPr>
        <w:t>The platform's AI engine automatically ingests current company details, maps historical liabilities, and populates a unified compliance timeline.</w:t>
      </w:r>
    </w:p>
    <w:p>
      <w:pPr>
        <w:pStyle w:val="ListBullet"/>
        <w:spacing w:after="80" w:line="276" w:lineRule="auto"/>
      </w:pPr>
      <w:r>
        <w:rPr>
          <w:rFonts w:ascii="Segoe UI" w:hAnsi="Segoe UI"/>
          <w:b/>
          <w:i w:val="0"/>
          <w:color w:val="334155"/>
          <w:sz w:val="20"/>
        </w:rPr>
        <w:t>Stage 2 - Data Collection:</w:t>
      </w:r>
      <w:r>
        <w:rPr>
          <w:rFonts w:ascii="Segoe UI" w:hAnsi="Segoe UI"/>
          <w:b w:val="0"/>
          <w:i w:val="0"/>
          <w:color w:val="334155"/>
          <w:sz w:val="20"/>
        </w:rPr>
        <w:t>The communication module sends tailored WhatsApp requests to company managers, collecting required data sheets directly via chat attachments.</w:t>
      </w:r>
    </w:p>
    <w:p>
      <w:pPr>
        <w:pStyle w:val="ListBullet"/>
        <w:spacing w:after="80" w:line="276" w:lineRule="auto"/>
      </w:pPr>
      <w:r>
        <w:rPr>
          <w:rFonts w:ascii="Segoe UI" w:hAnsi="Segoe UI"/>
          <w:b/>
          <w:i w:val="0"/>
          <w:color w:val="334155"/>
          <w:sz w:val="20"/>
        </w:rPr>
        <w:t>Stage 3 - Unified Verification:</w:t>
      </w:r>
      <w:r>
        <w:rPr>
          <w:rFonts w:ascii="Segoe UI" w:hAnsi="Segoe UI"/>
          <w:b w:val="0"/>
          <w:i w:val="0"/>
          <w:color w:val="334155"/>
          <w:sz w:val="20"/>
        </w:rPr>
        <w:t>Outside CA consultants review verified documents inside a clean, dedicated portal, completing checks and recording filing confirmation IDs in one place.</w:t>
      </w:r>
    </w:p>
    <w:p>
      <w:pPr>
        <w:keepNext/>
        <w:spacing w:before="480" w:after="240"/>
      </w:pPr>
      <w:r>
        <w:rPr>
          <w:rFonts w:ascii="Segoe UI" w:hAnsi="Segoe UI"/>
          <w:b/>
          <w:i w:val="0"/>
          <w:color w:val="0F172A"/>
          <w:sz w:val="40"/>
        </w:rPr>
        <w:t>5. Functional Requirements</w:t>
      </w:r>
    </w:p>
    <w:p>
      <w:pPr>
        <w:keepNext/>
        <w:spacing w:before="320" w:after="160"/>
      </w:pPr>
      <w:r>
        <w:rPr>
          <w:rFonts w:ascii="Segoe UI" w:hAnsi="Segoe UI"/>
          <w:b/>
          <w:i w:val="0"/>
          <w:color w:val="0284C7"/>
          <w:sz w:val="28"/>
        </w:rPr>
        <w:t>5.1 AI Obligation Mapping &amp; Regulatory Update Ingestion</w:t>
      </w:r>
    </w:p>
    <w:p>
      <w:pPr>
        <w:spacing w:after="200" w:line="276" w:lineRule="auto"/>
      </w:pPr>
      <w:r>
        <w:rPr>
          <w:rFonts w:ascii="Segoe UI" w:hAnsi="Segoe UI"/>
          <w:b w:val="0"/>
          <w:i w:val="0"/>
          <w:color w:val="334155"/>
          <w:sz w:val="20"/>
        </w:rPr>
        <w:t>The AI module parses unstructured data inputs and turns them into organized compliance entries, keeping the system aligned with changing tax updates.</w:t>
      </w:r>
    </w:p>
    <w:p>
      <w:pPr>
        <w:pStyle w:val="ListBullet"/>
        <w:spacing w:after="80" w:line="276" w:lineRule="auto"/>
      </w:pPr>
      <w:r>
        <w:rPr>
          <w:rFonts w:ascii="Segoe UI" w:hAnsi="Segoe UI"/>
          <w:b/>
          <w:i w:val="0"/>
          <w:color w:val="334155"/>
          <w:sz w:val="20"/>
        </w:rPr>
        <w:t>FR-AI-01: Natural Language Entity Extraction:</w:t>
      </w:r>
      <w:r>
        <w:rPr>
          <w:rFonts w:ascii="Segoe UI" w:hAnsi="Segoe UI"/>
          <w:b w:val="0"/>
          <w:i w:val="0"/>
          <w:color w:val="334155"/>
          <w:sz w:val="20"/>
        </w:rPr>
        <w:t>The platform must extract critical filing attributes (such as Tax ID, Category, Sub-Section, Liability Thresholds, and Due Dates) from raw input strings within 2.5 seconds.</w:t>
      </w:r>
    </w:p>
    <w:p>
      <w:pPr>
        <w:pStyle w:val="ListBullet"/>
        <w:spacing w:after="80" w:line="276" w:lineRule="auto"/>
      </w:pPr>
      <w:r>
        <w:rPr>
          <w:rFonts w:ascii="Segoe UI" w:hAnsi="Segoe UI"/>
          <w:b/>
          <w:i w:val="0"/>
          <w:color w:val="334155"/>
          <w:sz w:val="20"/>
        </w:rPr>
        <w:t>FR-AI-02: Circular Update Ingestion Parser:</w:t>
      </w:r>
      <w:r>
        <w:rPr>
          <w:rFonts w:ascii="Segoe UI" w:hAnsi="Segoe UI"/>
          <w:b w:val="0"/>
          <w:i w:val="0"/>
          <w:color w:val="334155"/>
          <w:sz w:val="20"/>
        </w:rPr>
        <w:t>The engine must monitor and parse public regulatory circulars from official portals (like CBIC and MCA), automatically updating internal tax calendars when rules change.</w:t>
      </w:r>
    </w:p>
    <w:p>
      <w:pPr>
        <w:keepNext/>
        <w:spacing w:before="320" w:after="160"/>
      </w:pPr>
      <w:r>
        <w:rPr>
          <w:rFonts w:ascii="Segoe UI" w:hAnsi="Segoe UI"/>
          <w:b/>
          <w:i w:val="0"/>
          <w:color w:val="0284C7"/>
          <w:sz w:val="28"/>
        </w:rPr>
        <w:t>5.2 Compliance Deadline &amp; Calibration Engine</w:t>
      </w:r>
    </w:p>
    <w:p>
      <w:pPr>
        <w:spacing w:after="200" w:line="276" w:lineRule="auto"/>
      </w:pPr>
      <w:r>
        <w:rPr>
          <w:rFonts w:ascii="Segoe UI" w:hAnsi="Segoe UI"/>
          <w:b w:val="0"/>
          <w:i w:val="0"/>
          <w:color w:val="334155"/>
          <w:sz w:val="20"/>
        </w:rPr>
        <w:t>The deadline engine handles complex scheduling calculations across multiple tax structures, shifting dates based on location rules.</w:t>
      </w:r>
    </w:p>
    <w:p>
      <w:pPr>
        <w:pStyle w:val="ListBullet"/>
        <w:spacing w:after="80" w:line="276" w:lineRule="auto"/>
      </w:pPr>
      <w:r>
        <w:rPr>
          <w:rFonts w:ascii="Segoe UI" w:hAnsi="Segoe UI"/>
          <w:b/>
          <w:i w:val="0"/>
          <w:color w:val="334155"/>
          <w:sz w:val="20"/>
        </w:rPr>
        <w:t>FR-CLE-01: Dynamic Risk Prioritization:</w:t>
      </w:r>
      <w:r>
        <w:rPr>
          <w:rFonts w:ascii="Segoe UI" w:hAnsi="Segoe UI"/>
          <w:b w:val="0"/>
          <w:i w:val="0"/>
          <w:color w:val="334155"/>
          <w:sz w:val="20"/>
        </w:rPr>
        <w:t>The platform must calculate a real-time Risk Coefficient for all active filings. It uses a mathematical tracking framework to prioritize items based on time elapsed and compounding late-fee penalties.</w:t>
      </w:r>
    </w:p>
    <w:p>
      <w:pPr>
        <w:pStyle w:val="ListBullet"/>
        <w:spacing w:after="80" w:line="276" w:lineRule="auto"/>
      </w:pPr>
      <w:r>
        <w:rPr>
          <w:rFonts w:ascii="Segoe UI" w:hAnsi="Segoe UI"/>
          <w:b/>
          <w:i w:val="0"/>
          <w:color w:val="334155"/>
          <w:sz w:val="20"/>
        </w:rPr>
        <w:t>FR-CLE-02: Regional Holiday Calibration:</w:t>
      </w:r>
      <w:r>
        <w:rPr>
          <w:rFonts w:ascii="Segoe UI" w:hAnsi="Segoe UI"/>
          <w:b w:val="0"/>
          <w:i w:val="0"/>
          <w:color w:val="334155"/>
          <w:sz w:val="20"/>
        </w:rPr>
        <w:t>The scheduler must integrate a comprehensive calendar matching engine that automatically adjusts filing deadlines based on localized Indian bank holiday registries across different states.</w:t>
      </w:r>
    </w:p>
    <w:p>
      <w:pPr>
        <w:keepNext/>
        <w:spacing w:before="320" w:after="160"/>
      </w:pPr>
      <w:r>
        <w:rPr>
          <w:rFonts w:ascii="Segoe UI" w:hAnsi="Segoe UI"/>
          <w:b/>
          <w:i w:val="0"/>
          <w:color w:val="0284C7"/>
          <w:sz w:val="28"/>
        </w:rPr>
        <w:t>5.3 Filing Workflow Orchestration &amp; Status Tracking</w:t>
      </w:r>
    </w:p>
    <w:p>
      <w:pPr>
        <w:spacing w:after="200" w:line="276" w:lineRule="auto"/>
      </w:pPr>
      <w:r>
        <w:rPr>
          <w:rFonts w:ascii="Segoe UI" w:hAnsi="Segoe UI"/>
          <w:b w:val="0"/>
          <w:i w:val="0"/>
          <w:color w:val="334155"/>
          <w:sz w:val="20"/>
        </w:rPr>
        <w:t>The orchestration module coordinates filing progress between internal corporate finance teams and outside accounting agencies.</w:t>
      </w:r>
    </w:p>
    <w:p>
      <w:pPr>
        <w:pStyle w:val="ListBullet"/>
        <w:spacing w:after="80" w:line="276" w:lineRule="auto"/>
      </w:pPr>
      <w:r>
        <w:rPr>
          <w:rFonts w:ascii="Segoe UI" w:hAnsi="Segoe UI"/>
          <w:b/>
          <w:i w:val="0"/>
          <w:color w:val="334155"/>
          <w:sz w:val="20"/>
        </w:rPr>
        <w:t>FR-FWO-01: Document Dependency Controls:</w:t>
      </w:r>
      <w:r>
        <w:rPr>
          <w:rFonts w:ascii="Segoe UI" w:hAnsi="Segoe UI"/>
          <w:b w:val="0"/>
          <w:i w:val="0"/>
          <w:color w:val="334155"/>
          <w:sz w:val="20"/>
        </w:rPr>
        <w:t>The platform must enforce strict, rule-based document validation. It prevents a task from moving to the CA Review status until all required data sheets are successfully uploaded.</w:t>
      </w:r>
    </w:p>
    <w:p>
      <w:pPr>
        <w:pStyle w:val="ListBullet"/>
        <w:spacing w:after="80" w:line="276" w:lineRule="auto"/>
      </w:pPr>
      <w:r>
        <w:rPr>
          <w:rFonts w:ascii="Segoe UI" w:hAnsi="Segoe UI"/>
          <w:b/>
          <w:i w:val="0"/>
          <w:color w:val="334155"/>
          <w:sz w:val="20"/>
        </w:rPr>
        <w:t>FR-FWO-02: Cryptographic Filing Audit Logs:</w:t>
      </w:r>
      <w:r>
        <w:rPr>
          <w:rFonts w:ascii="Segoe UI" w:hAnsi="Segoe UI"/>
          <w:b w:val="0"/>
          <w:i w:val="0"/>
          <w:color w:val="334155"/>
          <w:sz w:val="20"/>
        </w:rPr>
        <w:t>The system must maintain an immutable verification trail, cryptographically logging every operational action (such as user uploads, CA sign-offs, and government receipt confirmations) with permanent timestamps.</w:t>
      </w:r>
    </w:p>
    <w:p>
      <w:pPr>
        <w:keepNext/>
        <w:spacing w:before="320" w:after="160"/>
      </w:pPr>
      <w:r>
        <w:rPr>
          <w:rFonts w:ascii="Segoe UI" w:hAnsi="Segoe UI"/>
          <w:b/>
          <w:i w:val="0"/>
          <w:color w:val="0284C7"/>
          <w:sz w:val="28"/>
        </w:rPr>
        <w:t>5.4 Notification Automation &amp; Document Management</w:t>
      </w:r>
    </w:p>
    <w:p>
      <w:pPr>
        <w:spacing w:after="200" w:line="276" w:lineRule="auto"/>
      </w:pPr>
      <w:r>
        <w:rPr>
          <w:rFonts w:ascii="Segoe UI" w:hAnsi="Segoe UI"/>
          <w:b w:val="0"/>
          <w:i w:val="0"/>
          <w:color w:val="334155"/>
          <w:sz w:val="20"/>
        </w:rPr>
        <w:t>The messaging module uses conversational automation to simplify data gathering and file collection.</w:t>
      </w:r>
    </w:p>
    <w:p>
      <w:pPr>
        <w:pStyle w:val="ListBullet"/>
        <w:spacing w:after="80" w:line="276" w:lineRule="auto"/>
      </w:pPr>
      <w:r>
        <w:rPr>
          <w:rFonts w:ascii="Segoe UI" w:hAnsi="Segoe UI"/>
          <w:b/>
          <w:i w:val="0"/>
          <w:color w:val="334155"/>
          <w:sz w:val="20"/>
        </w:rPr>
        <w:t>FR-NOT-01: Structured Escalation Messaging:</w:t>
      </w:r>
      <w:r>
        <w:rPr>
          <w:rFonts w:ascii="Segoe UI" w:hAnsi="Segoe UI"/>
          <w:b w:val="0"/>
          <w:i w:val="0"/>
          <w:color w:val="334155"/>
          <w:sz w:val="20"/>
        </w:rPr>
        <w:t>The notification system must send automated reminders through verified corporate WhatsApp APIs. These notifications follow a structured escalation path as deadlines approach.</w:t>
      </w:r>
    </w:p>
    <w:p>
      <w:pPr>
        <w:pStyle w:val="ListBullet"/>
        <w:spacing w:after="80" w:line="276" w:lineRule="auto"/>
      </w:pPr>
      <w:r>
        <w:rPr>
          <w:rFonts w:ascii="Segoe UI" w:hAnsi="Segoe UI"/>
          <w:b/>
          <w:i w:val="0"/>
          <w:color w:val="334155"/>
          <w:sz w:val="20"/>
        </w:rPr>
        <w:t>FR-NOT-02: Conversational Data Collection:</w:t>
      </w:r>
      <w:r>
        <w:rPr>
          <w:rFonts w:ascii="Segoe UI" w:hAnsi="Segoe UI"/>
          <w:b w:val="0"/>
          <w:i w:val="0"/>
          <w:color w:val="334155"/>
          <w:sz w:val="20"/>
        </w:rPr>
        <w:t>The file storage system must support direct file ingestion via conversational chat updates. Documents sent by users via WhatsApp are automatically routed to the matching compliance record's storage folder.</w:t>
      </w:r>
    </w:p>
    <w:p>
      <w:pPr>
        <w:keepNext/>
        <w:spacing w:before="320" w:after="160"/>
      </w:pPr>
      <w:r>
        <w:rPr>
          <w:rFonts w:ascii="Segoe UI" w:hAnsi="Segoe UI"/>
          <w:b/>
          <w:i w:val="0"/>
          <w:color w:val="0284C7"/>
          <w:sz w:val="28"/>
        </w:rPr>
        <w:t>5.5 CA Collaboration &amp; Multi-Entity Management</w:t>
      </w:r>
    </w:p>
    <w:p>
      <w:pPr>
        <w:spacing w:after="200" w:line="276" w:lineRule="auto"/>
      </w:pPr>
      <w:r>
        <w:rPr>
          <w:rFonts w:ascii="Segoe UI" w:hAnsi="Segoe UI"/>
          <w:b w:val="0"/>
          <w:i w:val="0"/>
          <w:color w:val="334155"/>
          <w:sz w:val="20"/>
        </w:rPr>
        <w:t>The collaborative interface connects outside accounting networks with corporate multi-branch organizations.</w:t>
      </w:r>
    </w:p>
    <w:p>
      <w:pPr>
        <w:pStyle w:val="ListBullet"/>
        <w:spacing w:after="80" w:line="276" w:lineRule="auto"/>
      </w:pPr>
      <w:r>
        <w:rPr>
          <w:rFonts w:ascii="Segoe UI" w:hAnsi="Segoe UI"/>
          <w:b/>
          <w:i w:val="0"/>
          <w:color w:val="334155"/>
          <w:sz w:val="20"/>
        </w:rPr>
        <w:t>FR-CAP-01: Consolidated Advisor Interface:</w:t>
      </w:r>
      <w:r>
        <w:rPr>
          <w:rFonts w:ascii="Segoe UI" w:hAnsi="Segoe UI"/>
          <w:b w:val="0"/>
          <w:i w:val="0"/>
          <w:color w:val="334155"/>
          <w:sz w:val="20"/>
        </w:rPr>
        <w:t>The system must provide specialized interfaces for external tax consultants, displaying comprehensive client task views sorted by data readiness and file priority.</w:t>
      </w:r>
    </w:p>
    <w:p>
      <w:pPr>
        <w:pStyle w:val="ListBullet"/>
        <w:spacing w:after="80" w:line="276" w:lineRule="auto"/>
      </w:pPr>
      <w:r>
        <w:rPr>
          <w:rFonts w:ascii="Segoe UI" w:hAnsi="Segoe UI"/>
          <w:b/>
          <w:i w:val="0"/>
          <w:color w:val="334155"/>
          <w:sz w:val="20"/>
        </w:rPr>
        <w:t>FR-CAP-02: Multi-Tenant Corporate Governance:</w:t>
      </w:r>
      <w:r>
        <w:rPr>
          <w:rFonts w:ascii="Segoe UI" w:hAnsi="Segoe UI"/>
          <w:b w:val="0"/>
          <w:i w:val="0"/>
          <w:color w:val="334155"/>
          <w:sz w:val="20"/>
        </w:rPr>
        <w:t>The platform must support managing multiple corporate branches and entities under a single master profile, allowing promoters to view compliance health indicators across different regions on one central dashboard.</w:t>
      </w:r>
    </w:p>
    <w:p>
      <w:pPr>
        <w:keepNext/>
        <w:spacing w:before="480" w:after="240"/>
      </w:pPr>
      <w:r>
        <w:rPr>
          <w:rFonts w:ascii="Segoe UI" w:hAnsi="Segoe UI"/>
          <w:b/>
          <w:i w:val="0"/>
          <w:color w:val="0F172A"/>
          <w:sz w:val="40"/>
        </w:rPr>
        <w:t>6. Non-Functional Requirements</w:t>
      </w:r>
    </w:p>
    <w:p>
      <w:pPr>
        <w:keepNext/>
        <w:spacing w:before="320" w:after="160"/>
      </w:pPr>
      <w:r>
        <w:rPr>
          <w:rFonts w:ascii="Segoe UI" w:hAnsi="Segoe UI"/>
          <w:b/>
          <w:i w:val="0"/>
          <w:color w:val="0284C7"/>
          <w:sz w:val="28"/>
        </w:rPr>
        <w:t>6.1 Security, Privacy, &amp; Access Controls</w:t>
      </w:r>
    </w:p>
    <w:p>
      <w:pPr>
        <w:pStyle w:val="ListBullet"/>
        <w:spacing w:after="80" w:line="276" w:lineRule="auto"/>
      </w:pPr>
      <w:r>
        <w:rPr>
          <w:rFonts w:ascii="Segoe UI" w:hAnsi="Segoe UI"/>
          <w:b/>
          <w:i w:val="0"/>
          <w:color w:val="334155"/>
          <w:sz w:val="20"/>
        </w:rPr>
        <w:t>NFR-SEC-01: High-Grade Encryption:</w:t>
      </w:r>
      <w:r>
        <w:rPr>
          <w:rFonts w:ascii="Segoe UI" w:hAnsi="Segoe UI"/>
          <w:b w:val="0"/>
          <w:i w:val="0"/>
          <w:color w:val="334155"/>
          <w:sz w:val="20"/>
        </w:rPr>
        <w:t>All data storage tables, company financial records, and uploaded documents must use AES-256 encryption at rest, paired with enforced TLS 1.3 encryption protocols for data in transit.</w:t>
      </w:r>
    </w:p>
    <w:p>
      <w:pPr>
        <w:pStyle w:val="ListBullet"/>
        <w:spacing w:after="80" w:line="276" w:lineRule="auto"/>
      </w:pPr>
      <w:r>
        <w:rPr>
          <w:rFonts w:ascii="Segoe UI" w:hAnsi="Segoe UI"/>
          <w:b/>
          <w:i w:val="0"/>
          <w:color w:val="334155"/>
          <w:sz w:val="20"/>
        </w:rPr>
        <w:t>NFR-SEC-02: Enterprise Identity Governance:</w:t>
      </w:r>
      <w:r>
        <w:rPr>
          <w:rFonts w:ascii="Segoe UI" w:hAnsi="Segoe UI"/>
          <w:b w:val="0"/>
          <w:i w:val="0"/>
          <w:color w:val="334155"/>
          <w:sz w:val="20"/>
        </w:rPr>
        <w:t>The application must use strict Role-Based Access Control (RBAC) linked with enterprise Single Sign-On (SSO) systems (SAML 2.0, OIDC), requiring Multi-Factor Authentication (MFA) across all client interfaces.</w:t>
      </w:r>
    </w:p>
    <w:p>
      <w:pPr>
        <w:keepNext/>
        <w:spacing w:before="320" w:after="160"/>
      </w:pPr>
      <w:r>
        <w:rPr>
          <w:rFonts w:ascii="Segoe UI" w:hAnsi="Segoe UI"/>
          <w:b/>
          <w:i w:val="0"/>
          <w:color w:val="0284C7"/>
          <w:sz w:val="28"/>
        </w:rPr>
        <w:t>6.2 Performance, Reliability, &amp; Cloud Scalability</w:t>
      </w:r>
    </w:p>
    <w:p>
      <w:pPr>
        <w:pStyle w:val="ListBullet"/>
        <w:spacing w:after="80" w:line="276" w:lineRule="auto"/>
      </w:pPr>
      <w:r>
        <w:rPr>
          <w:rFonts w:ascii="Segoe UI" w:hAnsi="Segoe UI"/>
          <w:b/>
          <w:i w:val="0"/>
          <w:color w:val="334155"/>
          <w:sz w:val="20"/>
        </w:rPr>
        <w:t>NFR-PER-01: Low Interface Latency:</w:t>
      </w:r>
      <w:r>
        <w:rPr>
          <w:rFonts w:ascii="Segoe UI" w:hAnsi="Segoe UI"/>
          <w:b w:val="0"/>
          <w:i w:val="0"/>
          <w:color w:val="334155"/>
          <w:sz w:val="20"/>
        </w:rPr>
        <w:t>Main dashboard tables must refresh and display data updates within 150ms of database commitment using lightweight WebSocket channels.</w:t>
      </w:r>
    </w:p>
    <w:p>
      <w:pPr>
        <w:pStyle w:val="ListBullet"/>
        <w:spacing w:after="80" w:line="276" w:lineRule="auto"/>
      </w:pPr>
      <w:r>
        <w:rPr>
          <w:rFonts w:ascii="Segoe UI" w:hAnsi="Segoe UI"/>
          <w:b/>
          <w:i w:val="0"/>
          <w:color w:val="334155"/>
          <w:sz w:val="20"/>
        </w:rPr>
        <w:t>NFR-PER-02: Continuous Platform Availability:</w:t>
      </w:r>
      <w:r>
        <w:rPr>
          <w:rFonts w:ascii="Segoe UI" w:hAnsi="Segoe UI"/>
          <w:b w:val="0"/>
          <w:i w:val="0"/>
          <w:color w:val="334155"/>
          <w:sz w:val="20"/>
        </w:rPr>
        <w:t>The cloud architecture must maintain a 99.99% annual uptime profile, utilizing multi-region infrastructure setups with automated database recovery pipelines.</w:t>
      </w:r>
    </w:p>
    <w:p>
      <w:pPr>
        <w:pStyle w:val="ListBullet"/>
        <w:spacing w:after="80" w:line="276" w:lineRule="auto"/>
      </w:pPr>
      <w:r>
        <w:rPr>
          <w:rFonts w:ascii="Segoe UI" w:hAnsi="Segoe UI"/>
          <w:b/>
          <w:i w:val="0"/>
          <w:color w:val="334155"/>
          <w:sz w:val="20"/>
        </w:rPr>
        <w:t>NFR-PER-03: Scalable Data Tiering:</w:t>
      </w:r>
      <w:r>
        <w:rPr>
          <w:rFonts w:ascii="Segoe UI" w:hAnsi="Segoe UI"/>
          <w:b w:val="0"/>
          <w:i w:val="0"/>
          <w:color w:val="334155"/>
          <w:sz w:val="20"/>
        </w:rPr>
        <w:t>The storage backend must separate transactional operations (PostgreSQL with read replicas) from read-heavy analytical calculations (Redis cache cluster) to ensure flat query performance during peak tax windows.</w:t>
      </w:r>
    </w:p>
    <w:p>
      <w:pPr>
        <w:keepNext/>
        <w:spacing w:before="480" w:after="240"/>
      </w:pPr>
      <w:r>
        <w:rPr>
          <w:rFonts w:ascii="Segoe UI" w:hAnsi="Segoe UI"/>
          <w:b/>
          <w:i w:val="0"/>
          <w:color w:val="0F172A"/>
          <w:sz w:val="40"/>
        </w:rPr>
        <w:t>7. Risk Analysis &amp; Future Roadmap</w:t>
      </w:r>
    </w:p>
    <w:p>
      <w:pPr>
        <w:keepNext/>
        <w:spacing w:before="320" w:after="160"/>
      </w:pPr>
      <w:r>
        <w:rPr>
          <w:rFonts w:ascii="Segoe UI" w:hAnsi="Segoe UI"/>
          <w:b/>
          <w:i w:val="0"/>
          <w:color w:val="0284C7"/>
          <w:sz w:val="28"/>
        </w:rPr>
        <w:t>7.1 Risk Mitigation Matrix</w:t>
      </w:r>
    </w:p>
    <w:p>
      <w:pPr>
        <w:spacing w:after="200" w:line="276" w:lineRule="auto"/>
      </w:pPr>
      <w:r>
        <w:rPr>
          <w:rFonts w:ascii="Segoe UI" w:hAnsi="Segoe UI"/>
          <w:b w:val="0"/>
          <w:i w:val="0"/>
          <w:color w:val="334155"/>
          <w:sz w:val="20"/>
        </w:rPr>
        <w:t>Operating in a shifting regulatory space introduces technical and delivery challenges that require active mitigation strategies:</w:t>
      </w:r>
    </w:p>
    <w:tbl>
      <w:tblPr>
        <w:tblW w:type="auto" w:w="0"/>
        <w:jc w:val="center"/>
        <w:tblLook w:firstColumn="1" w:firstRow="1" w:lastColumn="0" w:lastRow="0" w:noHBand="0" w:noVBand="1" w:val="04A0"/>
      </w:tblPr>
      <w:tblGrid>
        <w:gridCol w:w="3010"/>
        <w:gridCol w:w="3010"/>
        <w:gridCol w:w="3010"/>
      </w:tblGrid>
      <w:tr>
        <w:tc>
          <w:tcPr>
            <w:tcW w:type="dxa" w:w="3010"/>
            <w:shd w:fill="0F172A"/>
            <w:tcMar>
              <w:top w:w="100" w:type="dxa"/>
              <w:bottom w:w="100" w:type="dxa"/>
              <w:left w:w="150" w:type="dxa"/>
              <w:right w:w="150" w:type="dxa"/>
            </w:tcMar>
          </w:tcPr>
          <w:p>
            <w:r>
              <w:rPr>
                <w:b/>
                <w:color w:val="FFFFFF"/>
              </w:rPr>
              <w:t>Identified Risk Vector</w:t>
            </w:r>
          </w:p>
        </w:tc>
        <w:tc>
          <w:tcPr>
            <w:tcW w:type="dxa" w:w="3010"/>
            <w:shd w:fill="0F172A"/>
            <w:tcMar>
              <w:top w:w="100" w:type="dxa"/>
              <w:bottom w:w="100" w:type="dxa"/>
              <w:left w:w="150" w:type="dxa"/>
              <w:right w:w="150" w:type="dxa"/>
            </w:tcMar>
          </w:tcPr>
          <w:p>
            <w:r>
              <w:rPr>
                <w:b/>
                <w:color w:val="FFFFFF"/>
              </w:rPr>
              <w:t>Impact Severity</w:t>
            </w:r>
          </w:p>
        </w:tc>
        <w:tc>
          <w:tcPr>
            <w:tcW w:type="dxa" w:w="3010"/>
            <w:shd w:fill="0F172A"/>
            <w:tcMar>
              <w:top w:w="100" w:type="dxa"/>
              <w:bottom w:w="100" w:type="dxa"/>
              <w:left w:w="150" w:type="dxa"/>
              <w:right w:w="150" w:type="dxa"/>
            </w:tcMar>
          </w:tcPr>
          <w:p>
            <w:r>
              <w:rPr>
                <w:b/>
                <w:color w:val="FFFFFF"/>
              </w:rPr>
              <w:t>Strategic Technical Remediation Strategy</w:t>
            </w:r>
          </w:p>
        </w:tc>
      </w:tr>
      <w:tr>
        <w:tc>
          <w:tcPr>
            <w:tcW w:type="dxa" w:w="3010"/>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Government API Layout Shifts</w:t>
            </w:r>
          </w:p>
        </w:tc>
        <w:tc>
          <w:tcPr>
            <w:tcW w:type="dxa" w:w="3010"/>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High Impact</w:t>
            </w:r>
          </w:p>
        </w:tc>
        <w:tc>
          <w:tcPr>
            <w:tcW w:type="dxa" w:w="3010"/>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Deploy an isolated integration translation layer that separates raw endpoints from core application logic, preventing tracking breaks.</w:t>
            </w:r>
          </w:p>
        </w:tc>
      </w:tr>
      <w:tr>
        <w:tc>
          <w:tcPr>
            <w:tcW w:type="dxa" w:w="3010"/>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shd w:fill="F8FAFC"/>
          </w:tcPr>
          <w:p>
            <w:r>
              <w:t>AI Processing Deviations</w:t>
            </w:r>
          </w:p>
        </w:tc>
        <w:tc>
          <w:tcPr>
            <w:tcW w:type="dxa" w:w="3010"/>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shd w:fill="F8FAFC"/>
          </w:tcPr>
          <w:p>
            <w:r>
              <w:t>Medium Impact</w:t>
            </w:r>
          </w:p>
        </w:tc>
        <w:tc>
          <w:tcPr>
            <w:tcW w:type="dxa" w:w="3010"/>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shd w:fill="F8FAFC"/>
          </w:tcPr>
          <w:p>
            <w:r>
              <w:t>Enforce strict JSON schema validation checks on all model outputs, utilizing rule-based local parsers as an automatic backup.</w:t>
            </w:r>
          </w:p>
        </w:tc>
      </w:tr>
      <w:tr>
        <w:tc>
          <w:tcPr>
            <w:tcW w:type="dxa" w:w="3010"/>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User Follow-Up Fatigue</w:t>
            </w:r>
          </w:p>
        </w:tc>
        <w:tc>
          <w:tcPr>
            <w:tcW w:type="dxa" w:w="3010"/>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Medium Impact</w:t>
            </w:r>
          </w:p>
        </w:tc>
        <w:tc>
          <w:tcPr>
            <w:tcW w:type="dxa" w:w="3010"/>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tcBorders>
          </w:tcPr>
          <w:p>
            <w:r>
              <w:t>Consolidate notification streams into single daily message summaries, using automated prioritization rules to limit user noise.</w:t>
            </w:r>
          </w:p>
        </w:tc>
      </w:tr>
    </w:tbl>
    <w:p>
      <w:pPr>
        <w:keepNext/>
        <w:spacing w:before="320" w:after="160"/>
      </w:pPr>
      <w:r>
        <w:rPr>
          <w:rFonts w:ascii="Segoe UI" w:hAnsi="Segoe UI"/>
          <w:b/>
          <w:i w:val="0"/>
          <w:color w:val="0284C7"/>
          <w:sz w:val="28"/>
        </w:rPr>
        <w:t>7.2 Technical Constraints</w:t>
      </w:r>
    </w:p>
    <w:p>
      <w:pPr>
        <w:pStyle w:val="ListBullet"/>
        <w:spacing w:after="80" w:line="276" w:lineRule="auto"/>
      </w:pPr>
      <w:r>
        <w:rPr>
          <w:rFonts w:ascii="Segoe UI" w:hAnsi="Segoe UI"/>
          <w:b/>
          <w:i w:val="0"/>
          <w:color w:val="334155"/>
          <w:sz w:val="20"/>
        </w:rPr>
        <w:t>Database Graph Limits:</w:t>
      </w:r>
      <w:r>
        <w:rPr>
          <w:rFonts w:ascii="Segoe UI" w:hAnsi="Segoe UI"/>
          <w:b w:val="0"/>
          <w:i w:val="0"/>
          <w:color w:val="334155"/>
          <w:sz w:val="20"/>
        </w:rPr>
        <w:t>To ensure smooth performance during peak filing periods, single business profiles are restricted to 5,000 active downstream tasks per dashboard workspace.</w:t>
      </w:r>
    </w:p>
    <w:p>
      <w:pPr>
        <w:pStyle w:val="ListBullet"/>
        <w:spacing w:after="80" w:line="276" w:lineRule="auto"/>
      </w:pPr>
      <w:r>
        <w:rPr>
          <w:rFonts w:ascii="Segoe UI" w:hAnsi="Segoe UI"/>
          <w:b/>
          <w:i w:val="0"/>
          <w:color w:val="334155"/>
          <w:sz w:val="20"/>
        </w:rPr>
        <w:t>Browser Requirements:</w:t>
      </w:r>
      <w:r>
        <w:rPr>
          <w:rFonts w:ascii="Segoe UI" w:hAnsi="Segoe UI"/>
          <w:b w:val="0"/>
          <w:i w:val="0"/>
          <w:color w:val="334155"/>
          <w:sz w:val="20"/>
        </w:rPr>
        <w:t>The interface is optimized for Chromium-based runtimes, requiring robust polyfill configurations to maintain compatibility on legacy enterprise web browsers.</w:t>
      </w:r>
    </w:p>
    <w:p>
      <w:pPr>
        <w:keepNext/>
        <w:spacing w:before="320" w:after="160"/>
      </w:pPr>
      <w:r>
        <w:rPr>
          <w:rFonts w:ascii="Segoe UI" w:hAnsi="Segoe UI"/>
          <w:b/>
          <w:i w:val="0"/>
          <w:color w:val="0284C7"/>
          <w:sz w:val="28"/>
        </w:rPr>
        <w:t>7.3 Revenue Opportunities &amp; Financial Model</w:t>
      </w:r>
    </w:p>
    <w:p>
      <w:pPr>
        <w:pStyle w:val="ListBullet"/>
        <w:spacing w:after="80" w:line="276" w:lineRule="auto"/>
      </w:pPr>
      <w:r>
        <w:rPr>
          <w:rFonts w:ascii="Segoe UI" w:hAnsi="Segoe UI"/>
          <w:b/>
          <w:i w:val="0"/>
          <w:color w:val="334155"/>
          <w:sz w:val="20"/>
        </w:rPr>
        <w:t>SaaS Subscription Tiers:</w:t>
      </w:r>
      <w:r>
        <w:rPr>
          <w:rFonts w:ascii="Segoe UI" w:hAnsi="Segoe UI"/>
          <w:b w:val="0"/>
          <w:i w:val="0"/>
          <w:color w:val="334155"/>
          <w:sz w:val="20"/>
        </w:rPr>
        <w:t>Tiered software pricing models scaled by user headcount, total tracked companies, and required state tax IDs.</w:t>
      </w:r>
    </w:p>
    <w:p>
      <w:pPr>
        <w:pStyle w:val="ListBullet"/>
        <w:spacing w:after="80" w:line="276" w:lineRule="auto"/>
      </w:pPr>
      <w:r>
        <w:rPr>
          <w:rFonts w:ascii="Segoe UI" w:hAnsi="Segoe UI"/>
          <w:b/>
          <w:i w:val="0"/>
          <w:color w:val="334155"/>
          <w:sz w:val="20"/>
        </w:rPr>
        <w:t>Advisor Account Licenses:</w:t>
      </w:r>
      <w:r>
        <w:rPr>
          <w:rFonts w:ascii="Segoe UI" w:hAnsi="Segoe UI"/>
          <w:b w:val="0"/>
          <w:i w:val="0"/>
          <w:color w:val="334155"/>
          <w:sz w:val="20"/>
        </w:rPr>
        <w:t>Dedicated access accounts for independent CA practices and accounting networks, charging per managed company profile.</w:t>
      </w:r>
    </w:p>
    <w:p>
      <w:pPr>
        <w:pStyle w:val="ListBullet"/>
        <w:spacing w:after="80" w:line="276" w:lineRule="auto"/>
      </w:pPr>
      <w:r>
        <w:rPr>
          <w:rFonts w:ascii="Segoe UI" w:hAnsi="Segoe UI"/>
          <w:b/>
          <w:i w:val="0"/>
          <w:color w:val="334155"/>
          <w:sz w:val="20"/>
        </w:rPr>
        <w:t>Priority Processing Add-Ons:</w:t>
      </w:r>
      <w:r>
        <w:rPr>
          <w:rFonts w:ascii="Segoe UI" w:hAnsi="Segoe UI"/>
          <w:b w:val="0"/>
          <w:i w:val="0"/>
          <w:color w:val="334155"/>
          <w:sz w:val="20"/>
        </w:rPr>
        <w:t>Premium options for high-volume transactions, instant API calls, and accelerated machine-learning resources.</w:t>
      </w:r>
    </w:p>
    <w:p>
      <w:pPr>
        <w:keepNext/>
        <w:spacing w:before="320" w:after="160"/>
      </w:pPr>
      <w:r>
        <w:rPr>
          <w:rFonts w:ascii="Segoe UI" w:hAnsi="Segoe UI"/>
          <w:b/>
          <w:i w:val="0"/>
          <w:color w:val="0284C7"/>
          <w:sz w:val="28"/>
        </w:rPr>
        <w:t>7.4 Future Expansion Strategy &amp; Long-Term Vision</w:t>
      </w:r>
    </w:p>
    <w:p>
      <w:pPr>
        <w:spacing w:after="200" w:line="276" w:lineRule="auto"/>
      </w:pPr>
      <w:r>
        <w:rPr>
          <w:rFonts w:ascii="Segoe UI" w:hAnsi="Segoe UI"/>
          <w:b w:val="0"/>
          <w:i w:val="0"/>
          <w:color w:val="334155"/>
          <w:sz w:val="20"/>
        </w:rPr>
        <w:t>The platform's long-term roadmap expands past tracking workflows into direct execution integrations. Phase 1 focuses on connecting directly with major Indian corporate banking APIs, allowing teams to cross-reference tax challans and initiate tax payments securely within the application. Phase 2 introduces advanced document parsing engines that analyze incoming government notices, instantly identifying core legal issues raised and drafting initial template responses for partner CA teams to review.</w:t>
      </w:r>
    </w:p>
    <w:p>
      <w:pPr>
        <w:keepNext/>
        <w:spacing w:before="480" w:after="240"/>
      </w:pPr>
      <w:r>
        <w:rPr>
          <w:rFonts w:ascii="Segoe UI" w:hAnsi="Segoe UI"/>
          <w:b/>
          <w:i w:val="0"/>
          <w:color w:val="0F172A"/>
          <w:sz w:val="40"/>
        </w:rPr>
        <w:t>8. Conclusion</w:t>
      </w:r>
    </w:p>
    <w:p>
      <w:pPr>
        <w:spacing w:after="200" w:line="276" w:lineRule="auto"/>
      </w:pPr>
      <w:r>
        <w:rPr>
          <w:rFonts w:ascii="Segoe UI" w:hAnsi="Segoe UI"/>
          <w:b w:val="0"/>
          <w:i w:val="0"/>
          <w:color w:val="334155"/>
          <w:sz w:val="20"/>
        </w:rPr>
        <w:t>DeadlineOS addresses a critical operational challenge for high-growth Indian companies: managing multi-layered regulatory filing workflows without cohesive software infrastructure. By replacing manual tracking sheets and chaotic chat history with a flexible, AI-native compliance engine, DeadlineOS changes project tracking from an opaque administrative burden into an automated, high-velocity corporate advantage. Backed by secure data pipelines, role-based governance frameworks, and automated verification loops, the platform provides a production-ready system of record. It enables modern Indian businesses and partner accounting agencies to minimize operational risk, cut late-fee expenses, and drive long-term organizational execution.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