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OIL INDIA LIMITED (OIL)</w:t>
        <w:br/>
      </w:r>
      <w:r>
        <w:rPr>
          <w:b/>
          <w:sz w:val="40"/>
        </w:rPr>
        <w:t>SIH 2026 — Project &amp; Domain Research Document</w:t>
      </w:r>
    </w:p>
    <w:p>
      <w:pPr>
        <w:jc w:val="center"/>
      </w:pPr>
      <w:r>
        <w:rPr>
          <w:b/>
        </w:rPr>
        <w:br/>
        <w:t>Problem Statement:</w:t>
        <w:br/>
      </w:r>
      <w:r>
        <w:rPr>
          <w:i/>
        </w:rPr>
        <w:t>“Intelligent Data Capture &amp; Schedule-Linking Layer for Infrastructure Project Management: Real-Time Actual Progress Tracking (Planning-to-Execution Bridge)”</w:t>
      </w:r>
    </w:p>
    <w:p>
      <w:pPr>
        <w:jc w:val="center"/>
      </w:pPr>
      <w:r>
        <w:rPr>
          <w:b/>
        </w:rPr>
        <w:br/>
        <w:t>Prepared for the SIH Team</w:t>
        <w:br/>
      </w:r>
      <w:r>
        <w:t>Research focus: OIL's business, infrastructure-project environment, existing digital systems, project-management workflow, data landscape, and implications for the proposed SIH solution.</w:t>
      </w:r>
    </w:p>
    <w:p>
      <w:pPr>
        <w:jc w:val="center"/>
      </w:pPr>
      <w:r>
        <w:rPr>
          <w:b/>
        </w:rPr>
        <w:br/>
        <w:t>Research snapshot: September 2026</w:t>
      </w:r>
    </w:p>
    <w:p>
      <w:r>
        <w:br w:type="page"/>
      </w:r>
    </w:p>
    <w:p>
      <w:pPr>
        <w:pStyle w:val="Heading1"/>
      </w:pPr>
      <w:r>
        <w:t>1. Executive Summary</w:t>
      </w:r>
    </w:p>
    <w:p>
      <w:r>
        <w:t>Oil India Limited (OIL) is a Maharatna Central Public Sector Enterprise under the Ministry of Petroleum &amp; Natural Gas and a fully integrated energy company. Its historical core is upstream exploration and production, but its current portfolio spans upstream, midstream, downstream, city gas distribution and emerging/alternate-energy activities. For the SIH problem, the most important fact is that OIL is not starting from zero: its project environment already uses enterprise/project-management systems, including SAP and TIEMCHART, and OIL has an ongoing digital-transformation programme under Project DRIVE/DRIVE 2.0.</w:t>
      </w:r>
    </w:p>
    <w:p>
      <w:r>
        <w:t>Therefore, the strongest interpretation of the SIH problem is not “build another generic project-management dashboard.” The opportunity is an intelligent planning-to-execution bridge: capture real-world execution evidence from field teams, contractors, documents, photos, measurements and potentially IoT/other sources; identify the relevant project/WBS/activity; reconcile actual progress with the approved baseline schedule; detect dependency-driven delays; forecast schedule impact; and provide trustworthy, actionable information to OIL's existing management ecosystem.</w:t>
      </w:r>
    </w:p>
    <w:p>
      <w:r>
        <w:t>This document is intended as a domain-research base for the SIH team. It is focused on information that can influence product architecture, database design, workflow design, AI/ML choices, integrations, demo scenarios and judging discussions.</w:t>
      </w:r>
    </w:p>
    <w:p>
      <w:pPr>
        <w:pStyle w:val="Heading1"/>
      </w:pPr>
      <w:r>
        <w:t>2. The SIH Problem Statement</w:t>
      </w:r>
    </w:p>
    <w:p>
      <w:r>
        <w:t>Problem statement from the supplied SIH listing:</w:t>
      </w:r>
    </w:p>
    <w:p>
      <w:r>
        <w:rPr>
          <w:b/>
        </w:rPr>
        <w:t>Intelligent Data Capture &amp; Schedule-Linking Layer for Infrastructure Project Management: Real-Time Actual Progress Tracking (Planning-to-Execution Bridge)</w:t>
      </w:r>
    </w:p>
    <w:p>
      <w:r>
        <w:t>The phrase “planning-to-execution bridge” is critical. OIL's project environment contains planned schedules, WBS structures, milestones, resources, billing/financial information and reports. The challenge is to continuously establish what actually happened at the execution site and link that reality back to the planned structure.</w:t>
      </w:r>
    </w:p>
    <w:p>
      <w:pPr>
        <w:pStyle w:val="Heading1"/>
      </w:pPr>
      <w:r>
        <w:t>3. OIL at a Company Level</w:t>
      </w:r>
    </w:p>
    <w:tbl>
      <w:tblPr>
        <w:tblStyle w:val="TableGrid"/>
        <w:tblW w:type="auto" w:w="0"/>
        <w:jc w:val="center"/>
        <w:tblLook w:firstColumn="1" w:firstRow="1" w:lastColumn="0" w:lastRow="0" w:noHBand="0" w:noVBand="1" w:val="04A0"/>
      </w:tblPr>
      <w:tblGrid>
        <w:gridCol w:w="5040"/>
        <w:gridCol w:w="5040"/>
      </w:tblGrid>
      <w:tr>
        <w:tc>
          <w:tcPr>
            <w:tcW w:type="dxa" w:w="2736"/>
            <w:vAlign w:val="center"/>
          </w:tcPr>
          <w:p>
            <w:r>
              <w:rPr>
                <w:b/>
              </w:rPr>
              <w:t>Item</w:t>
            </w:r>
          </w:p>
        </w:tc>
        <w:tc>
          <w:tcPr>
            <w:tcW w:type="dxa" w:w="8208"/>
            <w:vAlign w:val="center"/>
          </w:tcPr>
          <w:p>
            <w:r>
              <w:rPr>
                <w:b/>
              </w:rPr>
              <w:t>OIL-specific information</w:t>
            </w:r>
          </w:p>
        </w:tc>
      </w:tr>
      <w:tr>
        <w:tc>
          <w:tcPr>
            <w:tcW w:type="dxa" w:w="2736"/>
            <w:vAlign w:val="top"/>
          </w:tcPr>
          <w:p>
            <w:r>
              <w:t>Full name</w:t>
            </w:r>
          </w:p>
        </w:tc>
        <w:tc>
          <w:tcPr>
            <w:tcW w:type="dxa" w:w="8208"/>
            <w:vAlign w:val="top"/>
          </w:tcPr>
          <w:p>
            <w:r>
              <w:t>Oil India Limited (OIL)</w:t>
            </w:r>
          </w:p>
        </w:tc>
      </w:tr>
      <w:tr>
        <w:tc>
          <w:tcPr>
            <w:tcW w:type="dxa" w:w="2736"/>
            <w:vAlign w:val="top"/>
          </w:tcPr>
          <w:p>
            <w:r>
              <w:t>Status</w:t>
            </w:r>
          </w:p>
        </w:tc>
        <w:tc>
          <w:tcPr>
            <w:tcW w:type="dxa" w:w="8208"/>
            <w:vAlign w:val="top"/>
          </w:tcPr>
          <w:p>
            <w:r>
              <w:t>Maharatna Central Public Sector Enterprise (CPSE)</w:t>
            </w:r>
          </w:p>
        </w:tc>
      </w:tr>
      <w:tr>
        <w:tc>
          <w:tcPr>
            <w:tcW w:type="dxa" w:w="2736"/>
            <w:vAlign w:val="top"/>
          </w:tcPr>
          <w:p>
            <w:r>
              <w:t>Administrative ministry</w:t>
            </w:r>
          </w:p>
        </w:tc>
        <w:tc>
          <w:tcPr>
            <w:tcW w:type="dxa" w:w="8208"/>
            <w:vAlign w:val="top"/>
          </w:tcPr>
          <w:p>
            <w:r>
              <w:t>Ministry of Petroleum &amp; Natural Gas, Government of India</w:t>
            </w:r>
          </w:p>
        </w:tc>
      </w:tr>
      <w:tr>
        <w:tc>
          <w:tcPr>
            <w:tcW w:type="dxa" w:w="2736"/>
            <w:vAlign w:val="top"/>
          </w:tcPr>
          <w:p>
            <w:r>
              <w:t>Origin</w:t>
            </w:r>
          </w:p>
        </w:tc>
        <w:tc>
          <w:tcPr>
            <w:tcW w:type="dxa" w:w="8208"/>
            <w:vAlign w:val="top"/>
          </w:tcPr>
          <w:p>
            <w:r>
              <w:t>Oil discovery heritage in Digboi, Assam; OIL was established as a company in 1959 and became wholly owned by Government of India in 1981.</w:t>
            </w:r>
          </w:p>
        </w:tc>
      </w:tr>
      <w:tr>
        <w:tc>
          <w:tcPr>
            <w:tcW w:type="dxa" w:w="2736"/>
            <w:vAlign w:val="top"/>
          </w:tcPr>
          <w:p>
            <w:r>
              <w:t>Maharatna status</w:t>
            </w:r>
          </w:p>
        </w:tc>
        <w:tc>
          <w:tcPr>
            <w:tcW w:type="dxa" w:w="8208"/>
            <w:vAlign w:val="top"/>
          </w:tcPr>
          <w:p>
            <w:r>
              <w:t>Granted on 4 August 2023; OIL became the 13th Maharatna CPSE.</w:t>
            </w:r>
          </w:p>
        </w:tc>
      </w:tr>
      <w:tr>
        <w:tc>
          <w:tcPr>
            <w:tcW w:type="dxa" w:w="2736"/>
            <w:vAlign w:val="top"/>
          </w:tcPr>
          <w:p>
            <w:r>
              <w:t>Corporate office</w:t>
            </w:r>
          </w:p>
        </w:tc>
        <w:tc>
          <w:tcPr>
            <w:tcW w:type="dxa" w:w="8208"/>
            <w:vAlign w:val="top"/>
          </w:tcPr>
          <w:p>
            <w:r>
              <w:t>Noida, Uttar Pradesh</w:t>
            </w:r>
          </w:p>
        </w:tc>
      </w:tr>
      <w:tr>
        <w:tc>
          <w:tcPr>
            <w:tcW w:type="dxa" w:w="2736"/>
            <w:vAlign w:val="top"/>
          </w:tcPr>
          <w:p>
            <w:r>
              <w:t>Core historical capability</w:t>
            </w:r>
          </w:p>
        </w:tc>
        <w:tc>
          <w:tcPr>
            <w:tcW w:type="dxa" w:w="8208"/>
            <w:vAlign w:val="top"/>
          </w:tcPr>
          <w:p>
            <w:r>
              <w:t>Exploration and production of crude oil and natural gas</w:t>
            </w:r>
          </w:p>
        </w:tc>
      </w:tr>
      <w:tr>
        <w:tc>
          <w:tcPr>
            <w:tcW w:type="dxa" w:w="2736"/>
            <w:vAlign w:val="top"/>
          </w:tcPr>
          <w:p>
            <w:r>
              <w:t>Current positioning</w:t>
            </w:r>
          </w:p>
        </w:tc>
        <w:tc>
          <w:tcPr>
            <w:tcW w:type="dxa" w:w="8208"/>
            <w:vAlign w:val="top"/>
          </w:tcPr>
          <w:p>
            <w:r>
              <w:t>Fully integrated energy company</w:t>
            </w:r>
          </w:p>
        </w:tc>
      </w:tr>
      <w:tr>
        <w:tc>
          <w:tcPr>
            <w:tcW w:type="dxa" w:w="2736"/>
            <w:vAlign w:val="top"/>
          </w:tcPr>
          <w:p>
            <w:r>
              <w:t>Major subsidiary relevant to downstream</w:t>
            </w:r>
          </w:p>
        </w:tc>
        <w:tc>
          <w:tcPr>
            <w:tcW w:type="dxa" w:w="8208"/>
            <w:vAlign w:val="top"/>
          </w:tcPr>
          <w:p>
            <w:r>
              <w:t>Numaligarh Refinery Limited (NRL), in which OIL holds 69.63%.</w:t>
            </w:r>
          </w:p>
        </w:tc>
      </w:tr>
      <w:tr>
        <w:tc>
          <w:tcPr>
            <w:tcW w:type="dxa" w:w="2736"/>
            <w:vAlign w:val="top"/>
          </w:tcPr>
          <w:p>
            <w:r>
              <w:t>FY 2025-26 reported revenue</w:t>
            </w:r>
          </w:p>
        </w:tc>
        <w:tc>
          <w:tcPr>
            <w:tcW w:type="dxa" w:w="8208"/>
            <w:vAlign w:val="top"/>
          </w:tcPr>
          <w:p>
            <w:r>
              <w:t>₹24,039 crore</w:t>
            </w:r>
          </w:p>
        </w:tc>
      </w:tr>
      <w:tr>
        <w:tc>
          <w:tcPr>
            <w:tcW w:type="dxa" w:w="2736"/>
            <w:vAlign w:val="top"/>
          </w:tcPr>
          <w:p>
            <w:r>
              <w:t>FY 2025-26 reported PAT</w:t>
            </w:r>
          </w:p>
        </w:tc>
        <w:tc>
          <w:tcPr>
            <w:tcW w:type="dxa" w:w="8208"/>
            <w:vAlign w:val="top"/>
          </w:tcPr>
          <w:p>
            <w:r>
              <w:t>₹4,455 crore</w:t>
            </w:r>
          </w:p>
        </w:tc>
      </w:tr>
      <w:tr>
        <w:tc>
          <w:tcPr>
            <w:tcW w:type="dxa" w:w="2736"/>
            <w:vAlign w:val="top"/>
          </w:tcPr>
          <w:p>
            <w:r>
              <w:t>FY 2025-26 reported net worth</w:t>
            </w:r>
          </w:p>
        </w:tc>
        <w:tc>
          <w:tcPr>
            <w:tcW w:type="dxa" w:w="8208"/>
            <w:vAlign w:val="top"/>
          </w:tcPr>
          <w:p>
            <w:r>
              <w:t>₹42,128 crore</w:t>
            </w:r>
          </w:p>
        </w:tc>
      </w:tr>
    </w:tbl>
    <w:p/>
    <w:p>
      <w:pPr>
        <w:pStyle w:val="SmallNote"/>
      </w:pPr>
      <w:r>
        <w:rPr>
          <w:b/>
        </w:rPr>
        <w:t xml:space="preserve">Source / note: </w:t>
      </w:r>
      <w:r>
        <w:t>OIL official Profile, Financial Results, Maharatna press release and OIL homepage. Current FY2025-26 financial figures are from OIL's official Financial Results page.</w:t>
      </w:r>
    </w:p>
    <w:p>
      <w:pPr>
        <w:pStyle w:val="Heading1"/>
      </w:pPr>
      <w:r>
        <w:t>4. OIL's Business Structure</w:t>
      </w:r>
    </w:p>
    <w:p>
      <w:r>
        <w:t>For SIH purposes, think of OIL as an integrated energy ecosystem rather than only an oil-exploration company.</w:t>
      </w:r>
    </w:p>
    <w:p>
      <w:pPr>
        <w:pStyle w:val="ListBullet"/>
      </w:pPr>
      <w:r>
        <w:t>Upstream — exploration, geosciences, drilling, production, reservoir management, field development and well intervention.</w:t>
      </w:r>
    </w:p>
    <w:p>
      <w:pPr>
        <w:pStyle w:val="ListBullet"/>
      </w:pPr>
      <w:r>
        <w:t>Midstream — crude/product pipelines, pumping stations, terminals, pipeline rehabilitation and river-crossing infrastructure.</w:t>
      </w:r>
    </w:p>
    <w:p>
      <w:pPr>
        <w:pStyle w:val="ListBullet"/>
      </w:pPr>
      <w:r>
        <w:t>Downstream — refining and petrochemicals through subsidiaries/associates, especially NRL and other portfolio companies.</w:t>
      </w:r>
    </w:p>
    <w:p>
      <w:pPr>
        <w:pStyle w:val="ListBullet"/>
      </w:pPr>
      <w:r>
        <w:t>City Gas Distribution — gas distribution networks and CNG/PNG infrastructure through joint ventures and subsidiaries.</w:t>
      </w:r>
    </w:p>
    <w:p>
      <w:pPr>
        <w:pStyle w:val="ListBullet"/>
      </w:pPr>
      <w:r>
        <w:t>Alternate/new energy — activities around green hydrogen, compressed biogas, renewable energy and carbon-management/energy-transition areas.</w:t>
      </w:r>
    </w:p>
    <w:p>
      <w:pPr>
        <w:pStyle w:val="ListBullet"/>
      </w:pPr>
      <w:r>
        <w:t>R&amp;D and digitalization — specialized petroleum R&amp;D plus Industry 4.0, AI, IoT, connected-worker and command-centre initiatives.</w:t>
      </w:r>
    </w:p>
    <w:p>
      <w:pPr>
        <w:pStyle w:val="Heading1"/>
      </w:pPr>
      <w:r>
        <w:t>5. Upstream: OIL's Core Operating Domain</w:t>
      </w:r>
    </w:p>
    <w:p>
      <w:r>
        <w:t>Upstream is where OIL originally built its technical identity. OIL describes its main upstream operations as Geosciences, Drilling and Production. The exploration phase aims to locate and estimate hydrocarbon potential; production focuses on sustainable extraction and optimization over the life of a well.</w:t>
      </w:r>
    </w:p>
    <w:p>
      <w:pPr>
        <w:pStyle w:val="Heading2"/>
      </w:pPr>
      <w:r>
        <w:t>5.1 Exploration / Geosciences</w:t>
      </w:r>
    </w:p>
    <w:p>
      <w:pPr>
        <w:pStyle w:val="ListBullet"/>
      </w:pPr>
      <w:r>
        <w:t>Geological and geophysical studies identify prospective areas.</w:t>
      </w:r>
    </w:p>
    <w:p>
      <w:pPr>
        <w:pStyle w:val="ListBullet"/>
      </w:pPr>
      <w:r>
        <w:t>Seismic acquisition and interpretation support subsurface understanding.</w:t>
      </w:r>
    </w:p>
    <w:p>
      <w:pPr>
        <w:pStyle w:val="ListBullet"/>
      </w:pPr>
      <w:r>
        <w:t>Exploratory wells test prospects.</w:t>
      </w:r>
    </w:p>
    <w:p>
      <w:pPr>
        <w:pStyle w:val="ListBullet"/>
      </w:pPr>
      <w:r>
        <w:t>Appraisal/delineation wells improve understanding of discovered reserves.</w:t>
      </w:r>
    </w:p>
    <w:p>
      <w:pPr>
        <w:pStyle w:val="ListBullet"/>
      </w:pPr>
      <w:r>
        <w:t>Reservoir studies and field-development planning convert discoveries into development projects.</w:t>
      </w:r>
    </w:p>
    <w:p>
      <w:pPr>
        <w:pStyle w:val="Heading2"/>
      </w:pPr>
      <w:r>
        <w:t>5.2 Drilling</w:t>
      </w:r>
    </w:p>
    <w:p>
      <w:r>
        <w:t>A generic OIL drilling lifecycle can be represented as:</w:t>
      </w:r>
    </w:p>
    <w:p>
      <w:pPr>
        <w:pStyle w:val="ListNumber"/>
      </w:pPr>
      <w:r>
        <w:t>Well planning and engineering</w:t>
      </w:r>
    </w:p>
    <w:p>
      <w:pPr>
        <w:pStyle w:val="ListNumber"/>
      </w:pPr>
      <w:r>
        <w:t>Site/land preparation and approvals</w:t>
      </w:r>
    </w:p>
    <w:p>
      <w:pPr>
        <w:pStyle w:val="ListNumber"/>
      </w:pPr>
      <w:r>
        <w:t>Rig and service mobilization</w:t>
      </w:r>
    </w:p>
    <w:p>
      <w:pPr>
        <w:pStyle w:val="ListNumber"/>
      </w:pPr>
      <w:r>
        <w:t>Spudding and drilling of well sections</w:t>
      </w:r>
    </w:p>
    <w:p>
      <w:pPr>
        <w:pStyle w:val="ListNumber"/>
      </w:pPr>
      <w:r>
        <w:t>Logging/evaluation</w:t>
      </w:r>
    </w:p>
    <w:p>
      <w:pPr>
        <w:pStyle w:val="ListNumber"/>
      </w:pPr>
      <w:r>
        <w:t>Casing and cementing</w:t>
      </w:r>
    </w:p>
    <w:p>
      <w:pPr>
        <w:pStyle w:val="ListNumber"/>
      </w:pPr>
      <w:r>
        <w:t>Completion</w:t>
      </w:r>
    </w:p>
    <w:p>
      <w:pPr>
        <w:pStyle w:val="ListNumber"/>
      </w:pPr>
      <w:r>
        <w:t>Well testing</w:t>
      </w:r>
    </w:p>
    <w:p>
      <w:pPr>
        <w:pStyle w:val="ListNumber"/>
      </w:pPr>
      <w:r>
        <w:t>Production handover or abandonment</w:t>
      </w:r>
    </w:p>
    <w:p>
      <w:r>
        <w:t>Every stage can generate planned dates, actual dates, responsible parties, equipment requirements, materials, quantities, costs, reports and dependencies. This makes drilling a natural source of structured and semi-structured execution data.</w:t>
      </w:r>
    </w:p>
    <w:p>
      <w:pPr>
        <w:pStyle w:val="Heading2"/>
      </w:pPr>
      <w:r>
        <w:t>5.3 Production and Well Intervention</w:t>
      </w:r>
    </w:p>
    <w:p>
      <w:pPr>
        <w:pStyle w:val="ListBullet"/>
      </w:pPr>
      <w:r>
        <w:t>Oil and gas production monitoring</w:t>
      </w:r>
    </w:p>
    <w:p>
      <w:pPr>
        <w:pStyle w:val="ListBullet"/>
      </w:pPr>
      <w:r>
        <w:t>Well performance optimization</w:t>
      </w:r>
    </w:p>
    <w:p>
      <w:pPr>
        <w:pStyle w:val="ListBullet"/>
      </w:pPr>
      <w:r>
        <w:t>Artificial lift/gas-lift related operations</w:t>
      </w:r>
    </w:p>
    <w:p>
      <w:pPr>
        <w:pStyle w:val="ListBullet"/>
      </w:pPr>
      <w:r>
        <w:t>Workover and well-intervention jobs</w:t>
      </w:r>
    </w:p>
    <w:p>
      <w:pPr>
        <w:pStyle w:val="ListBullet"/>
      </w:pPr>
      <w:r>
        <w:t>Stimulation and enhanced/improved recovery activities</w:t>
      </w:r>
    </w:p>
    <w:p>
      <w:pPr>
        <w:pStyle w:val="ListBullet"/>
      </w:pPr>
      <w:r>
        <w:t>Surface production facilities and gathering infrastructure</w:t>
      </w:r>
    </w:p>
    <w:p>
      <w:pPr>
        <w:pStyle w:val="ListBullet"/>
      </w:pPr>
      <w:r>
        <w:t>Maintenance and asset-management activities</w:t>
      </w:r>
    </w:p>
    <w:p>
      <w:pPr>
        <w:pStyle w:val="Heading2"/>
      </w:pPr>
      <w:r>
        <w:t>5.4 OIL's E&amp;P Capability</w:t>
      </w:r>
    </w:p>
    <w:p>
      <w:r>
        <w:t>OIL's official “OIL at a Glance” page describes a vertically integrated E&amp;P capability covering seismic, drilling, wireline logging, field development, production, reservoir management, IOR/EOR and pipeline laying. The page (with FY2023-24 context) lists 2D/3D seismic crews, 10 logging units, 28 workover rigs and 19 drilling rigs. These numbers should be treated as dated reference figures rather than assumed current fleet counts.</w:t>
      </w:r>
    </w:p>
    <w:p>
      <w:pPr>
        <w:pStyle w:val="Heading1"/>
      </w:pPr>
      <w:r>
        <w:t>6. OIL's Geographic and Operational Complexity</w:t>
      </w:r>
    </w:p>
    <w:p>
      <w:r>
        <w:t>OIL's operations are geographically distributed across multiple Indian basins and regions, including major activities in Assam and other North-East areas, Rajasthan, the KG/Mahanadi basin and offshore areas. The distributed nature of execution is highly relevant to the SIH problem because project information may originate from remote field locations, contractors, site offices and different organizational units.</w:t>
      </w:r>
    </w:p>
    <w:p>
      <w:pPr>
        <w:pStyle w:val="ListBullet"/>
      </w:pPr>
      <w:r>
        <w:t>Remote/field locations can have different connectivity and operational conditions.</w:t>
      </w:r>
    </w:p>
    <w:p>
      <w:pPr>
        <w:pStyle w:val="ListBullet"/>
      </w:pPr>
      <w:r>
        <w:t>A single enterprise may have multiple simultaneous projects at different locations.</w:t>
      </w:r>
    </w:p>
    <w:p>
      <w:pPr>
        <w:pStyle w:val="ListBullet"/>
      </w:pPr>
      <w:r>
        <w:t>Contractors and EPC/EPMC organizations may enter project data through different processes.</w:t>
      </w:r>
    </w:p>
    <w:p>
      <w:pPr>
        <w:pStyle w:val="ListBullet"/>
      </w:pPr>
      <w:r>
        <w:t>The same project can involve engineering, procurement, construction, finance, HSE, QA/QC and operations stakeholders.</w:t>
      </w:r>
    </w:p>
    <w:p>
      <w:pPr>
        <w:pStyle w:val="ListBullet"/>
      </w:pPr>
      <w:r>
        <w:t>Location, site section, chainage, well, facility, package or equipment identity can be essential to correctly linking evidence to an activity.</w:t>
      </w:r>
    </w:p>
    <w:p>
      <w:pPr>
        <w:pStyle w:val="Heading1"/>
      </w:pPr>
      <w:r>
        <w:t>7. Midstream: Pipelines and Large Infrastructure</w:t>
      </w:r>
    </w:p>
    <w:p>
      <w:r>
        <w:t>OIL's midstream business is particularly useful for understanding the SIH problem because pipeline projects naturally produce large WBS structures, geographic segmentation, measurable quantities, dependencies and field evidence.</w:t>
      </w:r>
    </w:p>
    <w:p>
      <w:pPr>
        <w:pStyle w:val="Heading2"/>
      </w:pPr>
      <w:r>
        <w:t>7.1 OIL's Trunk Pipeline</w:t>
      </w:r>
    </w:p>
    <w:p>
      <w:pPr>
        <w:pStyle w:val="ListBullet"/>
      </w:pPr>
      <w:r>
        <w:t>OIL's official midstream page describes a 1,247 km fully automated trunk pipeline.</w:t>
      </w:r>
    </w:p>
    <w:p>
      <w:pPr>
        <w:pStyle w:val="ListBullet"/>
      </w:pPr>
      <w:r>
        <w:t>The stated capacity is 9.65 MMTPA.</w:t>
      </w:r>
    </w:p>
    <w:p>
      <w:pPr>
        <w:pStyle w:val="ListBullet"/>
      </w:pPr>
      <w:r>
        <w:t>The network traverses Assam, West Bengal and Bihar and includes 78 river crossings.</w:t>
      </w:r>
    </w:p>
    <w:p>
      <w:pPr>
        <w:pStyle w:val="ListBullet"/>
      </w:pPr>
      <w:r>
        <w:t>The network has 11 pumping stations and 17 repeater stations.</w:t>
      </w:r>
    </w:p>
    <w:p>
      <w:pPr>
        <w:pStyle w:val="ListBullet"/>
      </w:pPr>
      <w:r>
        <w:t>A replacement pipeline with capacity up to 1.0 MMTPA was commissioned on 27 April 2024; the page also notes new cathodic protection and OFC-based communication infrastructure.</w:t>
      </w:r>
    </w:p>
    <w:p>
      <w:pPr>
        <w:pStyle w:val="Heading2"/>
      </w:pPr>
      <w:r>
        <w:t>7.2 Pipeline Rehabilitation — Phase II</w:t>
      </w:r>
    </w:p>
    <w:p>
      <w:r>
        <w:t>OIL's official midstream page states that Pipeline Rehabilitation Project Phase II targets approximately 700 km of trunk-pipeline rehabilitation: about 330 km of 16-inch pipeline and 370 km of 14-inch pipeline, along with associated pipeline-integrity works.</w:t>
      </w:r>
    </w:p>
    <w:p>
      <w:pPr>
        <w:pStyle w:val="Heading2"/>
      </w:pPr>
      <w:r>
        <w:t>7.3 Micro-Tunnelling / River Crossings</w:t>
      </w:r>
    </w:p>
    <w:p>
      <w:r>
        <w:t>OIL's Micro-tunnelling Phase II project covers seven additional river crossings after Phase I. The project uses trenchless technology to reduce environmental impact, avoid disruption to river flow and improve long-term pipeline stability and safety.</w:t>
      </w:r>
    </w:p>
    <w:p>
      <w:pPr>
        <w:pStyle w:val="Heading2"/>
      </w:pPr>
      <w:r>
        <w:t>7.4 Why Pipeline Projects Matter for the SIH Solution</w:t>
      </w:r>
    </w:p>
    <w:p>
      <w:pPr>
        <w:pStyle w:val="ListBullet"/>
      </w:pPr>
      <w:r>
        <w:t>Progress can be quantity-based: kilometres welded, coated, lowered, backfilled or tested.</w:t>
      </w:r>
    </w:p>
    <w:p>
      <w:pPr>
        <w:pStyle w:val="ListBullet"/>
      </w:pPr>
      <w:r>
        <w:t>Activities can be geographically segmented by section/chainage.</w:t>
      </w:r>
    </w:p>
    <w:p>
      <w:pPr>
        <w:pStyle w:val="ListBullet"/>
      </w:pPr>
      <w:r>
        <w:t>Predecessor relationships are strong: survey → ROW → procurement → welding → NDT → coating → lowering → backfilling → hydrotest.</w:t>
      </w:r>
    </w:p>
    <w:p>
      <w:pPr>
        <w:pStyle w:val="ListBullet"/>
      </w:pPr>
      <w:r>
        <w:t>Photographs, GPS, measurements, inspection records and contractor reports can provide evidence of progress.</w:t>
      </w:r>
    </w:p>
    <w:p>
      <w:pPr>
        <w:pStyle w:val="ListBullet"/>
      </w:pPr>
      <w:r>
        <w:t>A delay in procurement or a blocked work front can propagate to multiple downstream activities.</w:t>
      </w:r>
    </w:p>
    <w:p>
      <w:pPr>
        <w:pStyle w:val="Heading1"/>
      </w:pPr>
      <w:r>
        <w:t>8. Downstream and NRL</w:t>
      </w:r>
    </w:p>
    <w:p>
      <w:r>
        <w:t>OIL became more integrated after acquiring majority ownership of Numaligarh Refinery Limited (NRL). OIL currently holds 69.63% in NRL. NRL operates a 3 MMTPA refinery in Assam and is undergoing a major expansion to 9 MMTPA.</w:t>
      </w:r>
    </w:p>
    <w:p>
      <w:r>
        <w:t>The downstream ecosystem also includes petrochemical interests, city-gas distribution and related infrastructure. For SIH, this demonstrates that OIL's project portfolio is not limited to drilling and pipelines.</w:t>
      </w:r>
    </w:p>
    <w:p>
      <w:pPr>
        <w:pStyle w:val="ListBullet"/>
      </w:pPr>
      <w:r>
        <w:t>Refinery expansion projects</w:t>
      </w:r>
    </w:p>
    <w:p>
      <w:pPr>
        <w:pStyle w:val="ListBullet"/>
      </w:pPr>
      <w:r>
        <w:t>Crude sourcing and import infrastructure</w:t>
      </w:r>
    </w:p>
    <w:p>
      <w:pPr>
        <w:pStyle w:val="ListBullet"/>
      </w:pPr>
      <w:r>
        <w:t>Crude/product pipelines</w:t>
      </w:r>
    </w:p>
    <w:p>
      <w:pPr>
        <w:pStyle w:val="ListBullet"/>
      </w:pPr>
      <w:r>
        <w:t>Storage and terminal facilities</w:t>
      </w:r>
    </w:p>
    <w:p>
      <w:pPr>
        <w:pStyle w:val="ListBullet"/>
      </w:pPr>
      <w:r>
        <w:t>Pump stations and utilities</w:t>
      </w:r>
    </w:p>
    <w:p>
      <w:pPr>
        <w:pStyle w:val="ListBullet"/>
      </w:pPr>
      <w:r>
        <w:t>Petrochemical plants</w:t>
      </w:r>
    </w:p>
    <w:p>
      <w:pPr>
        <w:pStyle w:val="ListBullet"/>
      </w:pPr>
      <w:r>
        <w:t>City gas distribution networks</w:t>
      </w:r>
    </w:p>
    <w:p>
      <w:pPr>
        <w:pStyle w:val="ListBullet"/>
      </w:pPr>
      <w:r>
        <w:t>CNG/PNG infrastructure</w:t>
      </w:r>
    </w:p>
    <w:p>
      <w:pPr>
        <w:pStyle w:val="Heading2"/>
      </w:pPr>
      <w:r>
        <w:t>8.1 Project Interdependency Example</w:t>
      </w:r>
    </w:p>
    <w:p>
      <w:r>
        <w:t>A refinery expansion can depend on supporting infrastructure such as crude supply, pipelines, storage, utilities and product evacuation. Therefore, portfolio-level schedule intelligence can be more useful than simply tracking one project in isolation.</w:t>
      </w:r>
    </w:p>
    <w:p>
      <w:pPr>
        <w:pStyle w:val="Heading1"/>
      </w:pPr>
      <w:r>
        <w:t>9. Other OIL Infrastructure Domains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tcPr>
          <w:p>
            <w:r>
              <w:rPr>
                <w:b/>
              </w:rPr>
              <w:t>Domain</w:t>
            </w:r>
          </w:p>
        </w:tc>
        <w:tc>
          <w:tcPr>
            <w:tcW w:type="dxa" w:w="4608"/>
            <w:vAlign w:val="center"/>
          </w:tcPr>
          <w:p>
            <w:r>
              <w:rPr>
                <w:b/>
              </w:rPr>
              <w:t>Representative project/infrastructure types</w:t>
            </w:r>
          </w:p>
        </w:tc>
        <w:tc>
          <w:tcPr>
            <w:tcW w:type="dxa" w:w="4608"/>
            <w:vAlign w:val="center"/>
          </w:tcPr>
          <w:p>
            <w:r>
              <w:rPr>
                <w:b/>
              </w:rPr>
              <w:t>Useful progress signals</w:t>
            </w:r>
          </w:p>
        </w:tc>
      </w:tr>
      <w:tr>
        <w:tc>
          <w:tcPr>
            <w:tcW w:type="dxa" w:w="1728"/>
            <w:vAlign w:val="top"/>
          </w:tcPr>
          <w:p>
            <w:r>
              <w:t>Exploration</w:t>
            </w:r>
          </w:p>
        </w:tc>
        <w:tc>
          <w:tcPr>
            <w:tcW w:type="dxa" w:w="4608"/>
            <w:vAlign w:val="top"/>
          </w:tcPr>
          <w:p>
            <w:r>
              <w:t>Seismic surveys, exploratory wells, appraisal</w:t>
            </w:r>
          </w:p>
        </w:tc>
        <w:tc>
          <w:tcPr>
            <w:tcW w:type="dxa" w:w="4608"/>
            <w:vAlign w:val="top"/>
          </w:tcPr>
          <w:p>
            <w:r>
              <w:t>Survey coverage, acquisition status, wells drilled, interpretation milestones</w:t>
            </w:r>
          </w:p>
        </w:tc>
      </w:tr>
      <w:tr>
        <w:tc>
          <w:tcPr>
            <w:tcW w:type="dxa" w:w="1728"/>
            <w:vAlign w:val="top"/>
          </w:tcPr>
          <w:p>
            <w:r>
              <w:t>Drilling</w:t>
            </w:r>
          </w:p>
        </w:tc>
        <w:tc>
          <w:tcPr>
            <w:tcW w:type="dxa" w:w="4608"/>
            <w:vAlign w:val="top"/>
          </w:tcPr>
          <w:p>
            <w:r>
              <w:t>Rig mobilization, drilling campaigns, well completion</w:t>
            </w:r>
          </w:p>
        </w:tc>
        <w:tc>
          <w:tcPr>
            <w:tcW w:type="dxa" w:w="4608"/>
            <w:vAlign w:val="top"/>
          </w:tcPr>
          <w:p>
            <w:r>
              <w:t>Depth, sections, days, equipment status, milestone completion</w:t>
            </w:r>
          </w:p>
        </w:tc>
      </w:tr>
      <w:tr>
        <w:tc>
          <w:tcPr>
            <w:tcW w:type="dxa" w:w="1728"/>
            <w:vAlign w:val="top"/>
          </w:tcPr>
          <w:p>
            <w:r>
              <w:t>Production</w:t>
            </w:r>
          </w:p>
        </w:tc>
        <w:tc>
          <w:tcPr>
            <w:tcW w:type="dxa" w:w="4608"/>
            <w:vAlign w:val="top"/>
          </w:tcPr>
          <w:p>
            <w:r>
              <w:t>GGS/GCS, production facilities, well intervention</w:t>
            </w:r>
          </w:p>
        </w:tc>
        <w:tc>
          <w:tcPr>
            <w:tcW w:type="dxa" w:w="4608"/>
            <w:vAlign w:val="top"/>
          </w:tcPr>
          <w:p>
            <w:r>
              <w:t>Equipment installation, piping, testing, production readiness</w:t>
            </w:r>
          </w:p>
        </w:tc>
      </w:tr>
      <w:tr>
        <w:tc>
          <w:tcPr>
            <w:tcW w:type="dxa" w:w="1728"/>
            <w:vAlign w:val="top"/>
          </w:tcPr>
          <w:p>
            <w:r>
              <w:t>Pipelines</w:t>
            </w:r>
          </w:p>
        </w:tc>
        <w:tc>
          <w:tcPr>
            <w:tcW w:type="dxa" w:w="4608"/>
            <w:vAlign w:val="top"/>
          </w:tcPr>
          <w:p>
            <w:r>
              <w:t>New pipelines, rehabilitation, crossings</w:t>
            </w:r>
          </w:p>
        </w:tc>
        <w:tc>
          <w:tcPr>
            <w:tcW w:type="dxa" w:w="4608"/>
            <w:vAlign w:val="top"/>
          </w:tcPr>
          <w:p>
            <w:r>
              <w:t>km completed, welds, NDT, coating, lowering, hydrotest</w:t>
            </w:r>
          </w:p>
        </w:tc>
      </w:tr>
      <w:tr>
        <w:tc>
          <w:tcPr>
            <w:tcW w:type="dxa" w:w="1728"/>
            <w:vAlign w:val="top"/>
          </w:tcPr>
          <w:p>
            <w:r>
              <w:t>Storage</w:t>
            </w:r>
          </w:p>
        </w:tc>
        <w:tc>
          <w:tcPr>
            <w:tcW w:type="dxa" w:w="4608"/>
            <w:vAlign w:val="top"/>
          </w:tcPr>
          <w:p>
            <w:r>
              <w:t>Crude/product tanks, terminals</w:t>
            </w:r>
          </w:p>
        </w:tc>
        <w:tc>
          <w:tcPr>
            <w:tcW w:type="dxa" w:w="4608"/>
            <w:vAlign w:val="top"/>
          </w:tcPr>
          <w:p>
            <w:r>
              <w:t>Civil %, tank erection, piping, testing, commissioning</w:t>
            </w:r>
          </w:p>
        </w:tc>
      </w:tr>
      <w:tr>
        <w:tc>
          <w:tcPr>
            <w:tcW w:type="dxa" w:w="1728"/>
            <w:vAlign w:val="top"/>
          </w:tcPr>
          <w:p>
            <w:r>
              <w:t>Refining</w:t>
            </w:r>
          </w:p>
        </w:tc>
        <w:tc>
          <w:tcPr>
            <w:tcW w:type="dxa" w:w="4608"/>
            <w:vAlign w:val="top"/>
          </w:tcPr>
          <w:p>
            <w:r>
              <w:t>Refinery units and utilities</w:t>
            </w:r>
          </w:p>
        </w:tc>
        <w:tc>
          <w:tcPr>
            <w:tcW w:type="dxa" w:w="4608"/>
            <w:vAlign w:val="top"/>
          </w:tcPr>
          <w:p>
            <w:r>
              <w:t>Equipment erection, piping, electrical/instrumentation, commissioning</w:t>
            </w:r>
          </w:p>
        </w:tc>
      </w:tr>
      <w:tr>
        <w:tc>
          <w:tcPr>
            <w:tcW w:type="dxa" w:w="1728"/>
            <w:vAlign w:val="top"/>
          </w:tcPr>
          <w:p>
            <w:r>
              <w:t>Gas</w:t>
            </w:r>
          </w:p>
        </w:tc>
        <w:tc>
          <w:tcPr>
            <w:tcW w:type="dxa" w:w="4608"/>
            <w:vAlign w:val="top"/>
          </w:tcPr>
          <w:p>
            <w:r>
              <w:t>Gas gathering, compression, processing</w:t>
            </w:r>
          </w:p>
        </w:tc>
        <w:tc>
          <w:tcPr>
            <w:tcW w:type="dxa" w:w="4608"/>
            <w:vAlign w:val="top"/>
          </w:tcPr>
          <w:p>
            <w:r>
              <w:t>Equipment delivery/installation, piping, electrical, commissioning</w:t>
            </w:r>
          </w:p>
        </w:tc>
      </w:tr>
      <w:tr>
        <w:tc>
          <w:tcPr>
            <w:tcW w:type="dxa" w:w="1728"/>
            <w:vAlign w:val="top"/>
          </w:tcPr>
          <w:p>
            <w:r>
              <w:t>Renewable/new energy</w:t>
            </w:r>
          </w:p>
        </w:tc>
        <w:tc>
          <w:tcPr>
            <w:tcW w:type="dxa" w:w="4608"/>
            <w:vAlign w:val="top"/>
          </w:tcPr>
          <w:p>
            <w:r>
              <w:t>Solar, wind, green hydrogen, CBG</w:t>
            </w:r>
          </w:p>
        </w:tc>
        <w:tc>
          <w:tcPr>
            <w:tcW w:type="dxa" w:w="4608"/>
            <w:vAlign w:val="top"/>
          </w:tcPr>
          <w:p>
            <w:r>
              <w:t>Capacity installed, modules, civil works, commissioning</w:t>
            </w:r>
          </w:p>
        </w:tc>
      </w:tr>
      <w:tr>
        <w:tc>
          <w:tcPr>
            <w:tcW w:type="dxa" w:w="1728"/>
            <w:vAlign w:val="top"/>
          </w:tcPr>
          <w:p>
            <w:r>
              <w:t>Digital/IT</w:t>
            </w:r>
          </w:p>
        </w:tc>
        <w:tc>
          <w:tcPr>
            <w:tcW w:type="dxa" w:w="4608"/>
            <w:vAlign w:val="top"/>
          </w:tcPr>
          <w:p>
            <w:r>
              <w:t>Command centres, applications, OT/IT systems</w:t>
            </w:r>
          </w:p>
        </w:tc>
        <w:tc>
          <w:tcPr>
            <w:tcW w:type="dxa" w:w="4608"/>
            <w:vAlign w:val="top"/>
          </w:tcPr>
          <w:p>
            <w:r>
              <w:t>Software modules, integrations, testing, deployment</w:t>
            </w:r>
          </w:p>
        </w:tc>
      </w:tr>
    </w:tbl>
    <w:p/>
    <w:p>
      <w:pPr>
        <w:pStyle w:val="Heading1"/>
      </w:pPr>
      <w:r>
        <w:t>10. OIL's Existing Digital and Project-Management Environment</w:t>
      </w:r>
    </w:p>
    <w:p>
      <w:r>
        <w:t>This section is critical. The SIH team should design around OIL's existing environment rather than assuming that OIL lacks project-management software.</w:t>
      </w:r>
    </w:p>
    <w:p>
      <w:pPr>
        <w:pStyle w:val="Heading2"/>
      </w:pPr>
      <w:r>
        <w:t>10.1 TIEMCHART</w:t>
      </w:r>
    </w:p>
    <w:p>
      <w:r>
        <w:t>OIL tender documents explicitly state that OIL uses TIEMCHART as project-management software. In relevant EPC/EPCM requirements, project-related data, reports and MoPNG reports are created/updated/stored in TIEMCHART, and project schedules, resource planning, billing schedules and other project details are updated there.</w:t>
      </w:r>
    </w:p>
    <w:p>
      <w:pPr>
        <w:pStyle w:val="ListBullet"/>
      </w:pPr>
      <w:r>
        <w:t>Project data creation and storage</w:t>
      </w:r>
    </w:p>
    <w:p>
      <w:pPr>
        <w:pStyle w:val="ListBullet"/>
      </w:pPr>
      <w:r>
        <w:t>Project reports</w:t>
      </w:r>
    </w:p>
    <w:p>
      <w:pPr>
        <w:pStyle w:val="ListBullet"/>
      </w:pPr>
      <w:r>
        <w:t>MoPNG-related reports</w:t>
      </w:r>
    </w:p>
    <w:p>
      <w:pPr>
        <w:pStyle w:val="ListBullet"/>
      </w:pPr>
      <w:r>
        <w:t>Project schedules</w:t>
      </w:r>
    </w:p>
    <w:p>
      <w:pPr>
        <w:pStyle w:val="ListBullet"/>
      </w:pPr>
      <w:r>
        <w:t>Resource planning</w:t>
      </w:r>
    </w:p>
    <w:p>
      <w:pPr>
        <w:pStyle w:val="ListBullet"/>
      </w:pPr>
      <w:r>
        <w:t>Billing schedules</w:t>
      </w:r>
    </w:p>
    <w:p>
      <w:pPr>
        <w:pStyle w:val="ListBullet"/>
      </w:pPr>
      <w:r>
        <w:t>Other project details</w:t>
      </w:r>
    </w:p>
    <w:p>
      <w:r>
        <w:t>This is one of the strongest reasons not to position the SIH solution as a replacement for TIEMCHART. A better position is an intelligent data-capture/reconciliation layer that can integrate with or feed the existing project-management environment.</w:t>
      </w:r>
    </w:p>
    <w:p>
      <w:pPr>
        <w:pStyle w:val="Heading2"/>
      </w:pPr>
      <w:r>
        <w:t>10.2 SAP</w:t>
      </w:r>
    </w:p>
    <w:p>
      <w:r>
        <w:t>OIL tender material has referenced SAP ERP modules including Finance (FI), Materials Management (MM), Plant Maintenance (PM), Human Resources (HR), Project System (PS), Production Planning (PP), IS-OIL, Sales &amp; Distribution (SD), Business Intelligence (BI), Supplier Relationship Management (SRM) and related components. For the SIH problem, SAP Project System, Materials Management, Finance and Plant Maintenance are particularly relevant conceptual integration points.</w:t>
      </w:r>
    </w:p>
    <w:p>
      <w:pPr>
        <w:pStyle w:val="Heading2"/>
      </w:pPr>
      <w:r>
        <w:t>10.3 Project DRIVE</w:t>
      </w:r>
    </w:p>
    <w:p>
      <w:r>
        <w:t>OIL states that its digital journey began in 2019 through Project DRIVE (Digital Readiness for Innovation &amp; Value in E&amp;P). OIL identifies pain areas including real-time well status, analytics/AI, project-management issues such as time overrun, asset management through IoT and predictive maintenance.</w:t>
      </w:r>
    </w:p>
    <w:p>
      <w:pPr>
        <w:pStyle w:val="ListBullet"/>
      </w:pPr>
      <w:r>
        <w:t>Real-Time Production Monitoring &amp; Analytics</w:t>
      </w:r>
    </w:p>
    <w:p>
      <w:pPr>
        <w:pStyle w:val="ListBullet"/>
      </w:pPr>
      <w:r>
        <w:t>Connected Worker</w:t>
      </w:r>
    </w:p>
    <w:p>
      <w:pPr>
        <w:pStyle w:val="ListBullet"/>
      </w:pPr>
      <w:r>
        <w:t>AI-Based Reservoir Modeling</w:t>
      </w:r>
    </w:p>
    <w:p>
      <w:pPr>
        <w:pStyle w:val="ListBullet"/>
      </w:pPr>
      <w:r>
        <w:t>CXO Dashboard</w:t>
      </w:r>
    </w:p>
    <w:p>
      <w:pPr>
        <w:pStyle w:val="ListBullet"/>
      </w:pPr>
      <w:r>
        <w:t>Enhanced Real-Time Monitoring &amp; Control Center for Drilling</w:t>
      </w:r>
    </w:p>
    <w:p>
      <w:pPr>
        <w:pStyle w:val="ListBullet"/>
      </w:pPr>
      <w:r>
        <w:t>Drone Surveillance</w:t>
      </w:r>
    </w:p>
    <w:p>
      <w:pPr>
        <w:pStyle w:val="ListBullet"/>
      </w:pPr>
      <w:r>
        <w:t>Digital Well Planning Platform</w:t>
      </w:r>
    </w:p>
    <w:p>
      <w:pPr>
        <w:pStyle w:val="ListBullet"/>
      </w:pPr>
      <w:r>
        <w:t>HSSE Management</w:t>
      </w:r>
    </w:p>
    <w:p>
      <w:pPr>
        <w:pStyle w:val="ListBullet"/>
      </w:pPr>
      <w:r>
        <w:t>Bowser Logistics Digitalization</w:t>
      </w:r>
    </w:p>
    <w:p>
      <w:pPr>
        <w:pStyle w:val="ListBullet"/>
      </w:pPr>
      <w:r>
        <w:t>Invoice-to-Pay Automation</w:t>
      </w:r>
    </w:p>
    <w:p>
      <w:pPr>
        <w:pStyle w:val="ListBullet"/>
      </w:pPr>
      <w:r>
        <w:t>Condition-Based Monitoring</w:t>
      </w:r>
    </w:p>
    <w:p>
      <w:pPr>
        <w:pStyle w:val="Heading2"/>
      </w:pPr>
      <w:r>
        <w:t>10.4 DRIVE 2.0</w:t>
      </w:r>
    </w:p>
    <w:p>
      <w:r>
        <w:t>OIL states that DRIVE 2.0 is the next phase of its digital initiatives, with a major focus on an integrated Command and Control Centre covering OIL's OT and IT infrastructure. This makes integration, data normalization and trustworthy real-time information particularly relevant to the SIH concept.</w:t>
      </w:r>
    </w:p>
    <w:p>
      <w:pPr>
        <w:pStyle w:val="Heading2"/>
      </w:pPr>
      <w:r>
        <w:t>10.5 CXO Dashboard</w:t>
      </w:r>
    </w:p>
    <w:p>
      <w:r>
        <w:t>OIL describes its CXO Dashboard as a BI-oriented management interface intended to provide functional KPI visibility, a single version of truth, real-time updates, alerts/notifications, visualizations and automated/ad-hoc reporting.</w:t>
      </w:r>
    </w:p>
    <w:p>
      <w:r>
        <w:t>Implication: the SIH solution should add trustworthy execution intelligence rather than simply creating another executive dashboard.</w:t>
      </w:r>
    </w:p>
    <w:p>
      <w:pPr>
        <w:pStyle w:val="Heading1"/>
      </w:pPr>
      <w:r>
        <w:t>11. How an OIL Infrastructure Project Can Work</w:t>
      </w:r>
    </w:p>
    <w:p>
      <w:r>
        <w:t>A generic OIL-style infrastructure project can be represented as:</w:t>
      </w:r>
    </w:p>
    <w:p>
      <w:pPr>
        <w:pStyle w:val="ListNumber"/>
      </w:pPr>
      <w:r>
        <w:t>Project concept / business need</w:t>
      </w:r>
    </w:p>
    <w:p>
      <w:pPr>
        <w:pStyle w:val="ListNumber"/>
      </w:pPr>
      <w:r>
        <w:t>Feasibility and preliminary studies</w:t>
      </w:r>
    </w:p>
    <w:p>
      <w:pPr>
        <w:pStyle w:val="ListNumber"/>
      </w:pPr>
      <w:r>
        <w:t>Project formulation and approval</w:t>
      </w:r>
    </w:p>
    <w:p>
      <w:pPr>
        <w:pStyle w:val="ListNumber"/>
      </w:pPr>
      <w:r>
        <w:t>Budget/cost approval</w:t>
      </w:r>
    </w:p>
    <w:p>
      <w:pPr>
        <w:pStyle w:val="ListNumber"/>
      </w:pPr>
      <w:r>
        <w:t>Basic engineering</w:t>
      </w:r>
    </w:p>
    <w:p>
      <w:pPr>
        <w:pStyle w:val="ListNumber"/>
      </w:pPr>
      <w:r>
        <w:t>Detailed engineering</w:t>
      </w:r>
    </w:p>
    <w:p>
      <w:pPr>
        <w:pStyle w:val="ListNumber"/>
      </w:pPr>
      <w:r>
        <w:t>Tendering and contracting</w:t>
      </w:r>
    </w:p>
    <w:p>
      <w:pPr>
        <w:pStyle w:val="ListNumber"/>
      </w:pPr>
      <w:r>
        <w:t>Purchase orders / package orders</w:t>
      </w:r>
    </w:p>
    <w:p>
      <w:pPr>
        <w:pStyle w:val="ListNumber"/>
      </w:pPr>
      <w:r>
        <w:t>Manufacturing and inspection</w:t>
      </w:r>
    </w:p>
    <w:p>
      <w:pPr>
        <w:pStyle w:val="ListNumber"/>
      </w:pPr>
      <w:r>
        <w:t>Material dispatch and delivery</w:t>
      </w:r>
    </w:p>
    <w:p>
      <w:pPr>
        <w:pStyle w:val="ListNumber"/>
      </w:pPr>
      <w:r>
        <w:t>Site mobilization</w:t>
      </w:r>
    </w:p>
    <w:p>
      <w:pPr>
        <w:pStyle w:val="ListNumber"/>
      </w:pPr>
      <w:r>
        <w:t>Civil works</w:t>
      </w:r>
    </w:p>
    <w:p>
      <w:pPr>
        <w:pStyle w:val="ListNumber"/>
      </w:pPr>
      <w:r>
        <w:t>Mechanical works</w:t>
      </w:r>
    </w:p>
    <w:p>
      <w:pPr>
        <w:pStyle w:val="ListNumber"/>
      </w:pPr>
      <w:r>
        <w:t>Electrical and instrumentation works</w:t>
      </w:r>
    </w:p>
    <w:p>
      <w:pPr>
        <w:pStyle w:val="ListNumber"/>
      </w:pPr>
      <w:r>
        <w:t>Testing / pre-commissioning</w:t>
      </w:r>
    </w:p>
    <w:p>
      <w:pPr>
        <w:pStyle w:val="ListNumber"/>
      </w:pPr>
      <w:r>
        <w:t>Commissioning</w:t>
      </w:r>
    </w:p>
    <w:p>
      <w:pPr>
        <w:pStyle w:val="ListNumber"/>
      </w:pPr>
      <w:r>
        <w:t>Performance / acceptance tests</w:t>
      </w:r>
    </w:p>
    <w:p>
      <w:pPr>
        <w:pStyle w:val="ListNumber"/>
      </w:pPr>
      <w:r>
        <w:t>Handover and project close-out</w:t>
      </w:r>
    </w:p>
    <w:p>
      <w:r>
        <w:t>Actual sequencing differs by project. OIL tender documents show that project schedules can include engineering, vendor orders, delivery, construction, mechanical completion, commissioning, performance testing and closure.</w:t>
      </w:r>
    </w:p>
    <w:p>
      <w:pPr>
        <w:pStyle w:val="Heading1"/>
      </w:pPr>
      <w:r>
        <w:t>12. Project Scheduling Concepts the Team Must Know</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b/>
              </w:rPr>
              <w:t>Concept</w:t>
            </w:r>
          </w:p>
        </w:tc>
        <w:tc>
          <w:tcPr>
            <w:tcW w:type="dxa" w:w="8496"/>
            <w:vAlign w:val="center"/>
          </w:tcPr>
          <w:p>
            <w:r>
              <w:rPr>
                <w:b/>
              </w:rPr>
              <w:t>Meaning in this problem</w:t>
            </w:r>
          </w:p>
        </w:tc>
      </w:tr>
      <w:tr>
        <w:tc>
          <w:tcPr>
            <w:tcW w:type="dxa" w:w="2448"/>
            <w:vAlign w:val="top"/>
          </w:tcPr>
          <w:p>
            <w:r>
              <w:t>Project</w:t>
            </w:r>
          </w:p>
        </w:tc>
        <w:tc>
          <w:tcPr>
            <w:tcW w:type="dxa" w:w="8496"/>
            <w:vAlign w:val="top"/>
          </w:tcPr>
          <w:p>
            <w:r>
              <w:t>The overall infrastructure initiative.</w:t>
            </w:r>
          </w:p>
        </w:tc>
      </w:tr>
      <w:tr>
        <w:tc>
          <w:tcPr>
            <w:tcW w:type="dxa" w:w="2448"/>
            <w:vAlign w:val="top"/>
          </w:tcPr>
          <w:p>
            <w:r>
              <w:t>WBS</w:t>
            </w:r>
          </w:p>
        </w:tc>
        <w:tc>
          <w:tcPr>
            <w:tcW w:type="dxa" w:w="8496"/>
            <w:vAlign w:val="top"/>
          </w:tcPr>
          <w:p>
            <w:r>
              <w:t>Work Breakdown Structure — hierarchical decomposition of project scope.</w:t>
            </w:r>
          </w:p>
        </w:tc>
      </w:tr>
      <w:tr>
        <w:tc>
          <w:tcPr>
            <w:tcW w:type="dxa" w:w="2448"/>
            <w:vAlign w:val="top"/>
          </w:tcPr>
          <w:p>
            <w:r>
              <w:t>Work package</w:t>
            </w:r>
          </w:p>
        </w:tc>
        <w:tc>
          <w:tcPr>
            <w:tcW w:type="dxa" w:w="8496"/>
            <w:vAlign w:val="top"/>
          </w:tcPr>
          <w:p>
            <w:r>
              <w:t>A manageable chunk of scope under a WBS.</w:t>
            </w:r>
          </w:p>
        </w:tc>
      </w:tr>
      <w:tr>
        <w:tc>
          <w:tcPr>
            <w:tcW w:type="dxa" w:w="2448"/>
            <w:vAlign w:val="top"/>
          </w:tcPr>
          <w:p>
            <w:r>
              <w:t>Activity</w:t>
            </w:r>
          </w:p>
        </w:tc>
        <w:tc>
          <w:tcPr>
            <w:tcW w:type="dxa" w:w="8496"/>
            <w:vAlign w:val="top"/>
          </w:tcPr>
          <w:p>
            <w:r>
              <w:t>A schedulable unit of work with dates, duration, resources and dependencies.</w:t>
            </w:r>
          </w:p>
        </w:tc>
      </w:tr>
      <w:tr>
        <w:tc>
          <w:tcPr>
            <w:tcW w:type="dxa" w:w="2448"/>
            <w:vAlign w:val="top"/>
          </w:tcPr>
          <w:p>
            <w:r>
              <w:t>Milestone</w:t>
            </w:r>
          </w:p>
        </w:tc>
        <w:tc>
          <w:tcPr>
            <w:tcW w:type="dxa" w:w="8496"/>
            <w:vAlign w:val="top"/>
          </w:tcPr>
          <w:p>
            <w:r>
              <w:t>A zero/very-low-duration checkpoint representing a significant event.</w:t>
            </w:r>
          </w:p>
        </w:tc>
      </w:tr>
      <w:tr>
        <w:tc>
          <w:tcPr>
            <w:tcW w:type="dxa" w:w="2448"/>
            <w:vAlign w:val="top"/>
          </w:tcPr>
          <w:p>
            <w:r>
              <w:t>Predecessor</w:t>
            </w:r>
          </w:p>
        </w:tc>
        <w:tc>
          <w:tcPr>
            <w:tcW w:type="dxa" w:w="8496"/>
            <w:vAlign w:val="top"/>
          </w:tcPr>
          <w:p>
            <w:r>
              <w:t>Activity that must occur before another activity can proceed.</w:t>
            </w:r>
          </w:p>
        </w:tc>
      </w:tr>
      <w:tr>
        <w:tc>
          <w:tcPr>
            <w:tcW w:type="dxa" w:w="2448"/>
            <w:vAlign w:val="top"/>
          </w:tcPr>
          <w:p>
            <w:r>
              <w:t>Successor</w:t>
            </w:r>
          </w:p>
        </w:tc>
        <w:tc>
          <w:tcPr>
            <w:tcW w:type="dxa" w:w="8496"/>
            <w:vAlign w:val="top"/>
          </w:tcPr>
          <w:p>
            <w:r>
              <w:t>Activity that depends on a preceding activity.</w:t>
            </w:r>
          </w:p>
        </w:tc>
      </w:tr>
      <w:tr>
        <w:tc>
          <w:tcPr>
            <w:tcW w:type="dxa" w:w="2448"/>
            <w:vAlign w:val="top"/>
          </w:tcPr>
          <w:p>
            <w:r>
              <w:t>Baseline</w:t>
            </w:r>
          </w:p>
        </w:tc>
        <w:tc>
          <w:tcPr>
            <w:tcW w:type="dxa" w:w="8496"/>
            <w:vAlign w:val="top"/>
          </w:tcPr>
          <w:p>
            <w:r>
              <w:t>Approved reference schedule against which actual/current performance is compared.</w:t>
            </w:r>
          </w:p>
        </w:tc>
      </w:tr>
      <w:tr>
        <w:tc>
          <w:tcPr>
            <w:tcW w:type="dxa" w:w="2448"/>
            <w:vAlign w:val="top"/>
          </w:tcPr>
          <w:p>
            <w:r>
              <w:t>Actual start/finish</w:t>
            </w:r>
          </w:p>
        </w:tc>
        <w:tc>
          <w:tcPr>
            <w:tcW w:type="dxa" w:w="8496"/>
            <w:vAlign w:val="top"/>
          </w:tcPr>
          <w:p>
            <w:r>
              <w:t>What actually happened in execution.</w:t>
            </w:r>
          </w:p>
        </w:tc>
      </w:tr>
      <w:tr>
        <w:tc>
          <w:tcPr>
            <w:tcW w:type="dxa" w:w="2448"/>
            <w:vAlign w:val="top"/>
          </w:tcPr>
          <w:p>
            <w:r>
              <w:t>Forecast</w:t>
            </w:r>
          </w:p>
        </w:tc>
        <w:tc>
          <w:tcPr>
            <w:tcW w:type="dxa" w:w="8496"/>
            <w:vAlign w:val="top"/>
          </w:tcPr>
          <w:p>
            <w:r>
              <w:t>Expected future completion based on current information.</w:t>
            </w:r>
          </w:p>
        </w:tc>
      </w:tr>
      <w:tr>
        <w:tc>
          <w:tcPr>
            <w:tcW w:type="dxa" w:w="2448"/>
            <w:vAlign w:val="top"/>
          </w:tcPr>
          <w:p>
            <w:r>
              <w:t>Float</w:t>
            </w:r>
          </w:p>
        </w:tc>
        <w:tc>
          <w:tcPr>
            <w:tcW w:type="dxa" w:w="8496"/>
            <w:vAlign w:val="top"/>
          </w:tcPr>
          <w:p>
            <w:r>
              <w:t>Schedule flexibility before a delay affects a downstream milestone.</w:t>
            </w:r>
          </w:p>
        </w:tc>
      </w:tr>
      <w:tr>
        <w:tc>
          <w:tcPr>
            <w:tcW w:type="dxa" w:w="2448"/>
            <w:vAlign w:val="top"/>
          </w:tcPr>
          <w:p>
            <w:r>
              <w:t>Critical path</w:t>
            </w:r>
          </w:p>
        </w:tc>
        <w:tc>
          <w:tcPr>
            <w:tcW w:type="dxa" w:w="8496"/>
            <w:vAlign w:val="top"/>
          </w:tcPr>
          <w:p>
            <w:r>
              <w:t>Chain of activities controlling the project completion date.</w:t>
            </w:r>
          </w:p>
        </w:tc>
      </w:tr>
      <w:tr>
        <w:tc>
          <w:tcPr>
            <w:tcW w:type="dxa" w:w="2448"/>
            <w:vAlign w:val="top"/>
          </w:tcPr>
          <w:p>
            <w:r>
              <w:t>Progress</w:t>
            </w:r>
          </w:p>
        </w:tc>
        <w:tc>
          <w:tcPr>
            <w:tcW w:type="dxa" w:w="8496"/>
            <w:vAlign w:val="top"/>
          </w:tcPr>
          <w:p>
            <w:r>
              <w:t>Measured completion of scope, ideally supported by quantity/evidence rather than a subjective percentage.</w:t>
            </w:r>
          </w:p>
        </w:tc>
      </w:tr>
    </w:tbl>
    <w:p/>
    <w:p>
      <w:pPr>
        <w:pStyle w:val="Heading1"/>
      </w:pPr>
      <w:r>
        <w:t>13. What OIL Project Documents Reveal About Reporting</w:t>
      </w:r>
    </w:p>
    <w:p>
      <w:r>
        <w:t>OIL project/EPCM tender documents provide useful evidence about the information expected in project monitoring. Depending on the project, requirements include:</w:t>
      </w:r>
    </w:p>
    <w:p>
      <w:pPr>
        <w:pStyle w:val="ListBullet"/>
      </w:pPr>
      <w:r>
        <w:t>Overall project schedule</w:t>
      </w:r>
    </w:p>
    <w:p>
      <w:pPr>
        <w:pStyle w:val="ListBullet"/>
      </w:pPr>
      <w:r>
        <w:t>Network diagram</w:t>
      </w:r>
    </w:p>
    <w:p>
      <w:pPr>
        <w:pStyle w:val="ListBullet"/>
      </w:pPr>
      <w:r>
        <w:t>Activity list</w:t>
      </w:r>
    </w:p>
    <w:p>
      <w:pPr>
        <w:pStyle w:val="ListBullet"/>
      </w:pPr>
      <w:r>
        <w:t>Milestone list</w:t>
      </w:r>
    </w:p>
    <w:p>
      <w:pPr>
        <w:pStyle w:val="ListBullet"/>
      </w:pPr>
      <w:r>
        <w:t>WBS</w:t>
      </w:r>
    </w:p>
    <w:p>
      <w:pPr>
        <w:pStyle w:val="ListBullet"/>
      </w:pPr>
      <w:r>
        <w:t>Monthly physical progress schedule</w:t>
      </w:r>
    </w:p>
    <w:p>
      <w:pPr>
        <w:pStyle w:val="ListBullet"/>
      </w:pPr>
      <w:r>
        <w:t>Monthly cash-flow statement</w:t>
      </w:r>
    </w:p>
    <w:p>
      <w:pPr>
        <w:pStyle w:val="ListBullet"/>
      </w:pPr>
      <w:r>
        <w:t>Project cost estimates</w:t>
      </w:r>
    </w:p>
    <w:p>
      <w:pPr>
        <w:pStyle w:val="ListBullet"/>
      </w:pPr>
      <w:r>
        <w:t>Financial commitment schedule</w:t>
      </w:r>
    </w:p>
    <w:p>
      <w:pPr>
        <w:pStyle w:val="ListBullet"/>
      </w:pPr>
      <w:r>
        <w:t>Manpower deployment schedule</w:t>
      </w:r>
    </w:p>
    <w:p>
      <w:pPr>
        <w:pStyle w:val="ListBullet"/>
      </w:pPr>
      <w:r>
        <w:t>Inspection schedule and plan</w:t>
      </w:r>
    </w:p>
    <w:p>
      <w:pPr>
        <w:pStyle w:val="ListBullet"/>
      </w:pPr>
      <w:r>
        <w:t>Material-expediting reports</w:t>
      </w:r>
    </w:p>
    <w:p>
      <w:pPr>
        <w:pStyle w:val="ListBullet"/>
      </w:pPr>
      <w:r>
        <w:t>Construction/status reports</w:t>
      </w:r>
    </w:p>
    <w:p>
      <w:pPr>
        <w:pStyle w:val="ListBullet"/>
      </w:pPr>
      <w:r>
        <w:t>Project close-out report</w:t>
      </w:r>
    </w:p>
    <w:p>
      <w:pPr>
        <w:pStyle w:val="ListBullet"/>
      </w:pPr>
      <w:r>
        <w:t>MIS reports for OIL and Ministry Monitoring Cell requirements</w:t>
      </w:r>
    </w:p>
    <w:p>
      <w:pPr>
        <w:pStyle w:val="ListBullet"/>
      </w:pPr>
      <w:r>
        <w:t>Project data and reports maintained/updated in TIEMCHART</w:t>
      </w:r>
    </w:p>
    <w:p>
      <w:r>
        <w:t>This is important because it shows that OIL's project environment already has structured planning and reporting requirements. The SIH opportunity is to reduce the manual effort and latency between field execution and these structured records.</w:t>
      </w:r>
    </w:p>
    <w:p>
      <w:pPr>
        <w:pStyle w:val="Heading1"/>
      </w:pPr>
      <w:r>
        <w:t>14. Data Landscape for the SIH Solution</w:t>
      </w:r>
    </w:p>
    <w:p>
      <w:pPr>
        <w:pStyle w:val="Heading2"/>
      </w:pPr>
      <w:r>
        <w:t>14.1 Project Master Data</w:t>
      </w:r>
    </w:p>
    <w:p>
      <w:pPr>
        <w:pStyle w:val="ListBullet"/>
      </w:pPr>
      <w:r>
        <w:t>Project ID and project name</w:t>
      </w:r>
    </w:p>
    <w:p>
      <w:pPr>
        <w:pStyle w:val="ListBullet"/>
      </w:pPr>
      <w:r>
        <w:t>Project type/domain</w:t>
      </w:r>
    </w:p>
    <w:p>
      <w:pPr>
        <w:pStyle w:val="ListBullet"/>
      </w:pPr>
      <w:r>
        <w:t>Location/site</w:t>
      </w:r>
    </w:p>
    <w:p>
      <w:pPr>
        <w:pStyle w:val="ListBullet"/>
      </w:pPr>
      <w:r>
        <w:t>Business unit/department</w:t>
      </w:r>
    </w:p>
    <w:p>
      <w:pPr>
        <w:pStyle w:val="ListBullet"/>
      </w:pPr>
      <w:r>
        <w:t>Project manager/owner</w:t>
      </w:r>
    </w:p>
    <w:p>
      <w:pPr>
        <w:pStyle w:val="ListBullet"/>
      </w:pPr>
      <w:r>
        <w:t>Contract/EPC/EPCM model</w:t>
      </w:r>
    </w:p>
    <w:p>
      <w:pPr>
        <w:pStyle w:val="ListBullet"/>
      </w:pPr>
      <w:r>
        <w:t>Approved budget</w:t>
      </w:r>
    </w:p>
    <w:p>
      <w:pPr>
        <w:pStyle w:val="ListBullet"/>
      </w:pPr>
      <w:r>
        <w:t>Approved completion date</w:t>
      </w:r>
    </w:p>
    <w:p>
      <w:pPr>
        <w:pStyle w:val="ListBullet"/>
      </w:pPr>
      <w:r>
        <w:t>Priority</w:t>
      </w:r>
    </w:p>
    <w:p>
      <w:pPr>
        <w:pStyle w:val="ListBullet"/>
      </w:pPr>
      <w:r>
        <w:t>Key milestones</w:t>
      </w:r>
    </w:p>
    <w:p>
      <w:pPr>
        <w:pStyle w:val="Heading2"/>
      </w:pPr>
      <w:r>
        <w:t>14.2 Schedule Data</w:t>
      </w:r>
    </w:p>
    <w:p>
      <w:pPr>
        <w:pStyle w:val="ListBullet"/>
      </w:pPr>
      <w:r>
        <w:t>WBS ID</w:t>
      </w:r>
    </w:p>
    <w:p>
      <w:pPr>
        <w:pStyle w:val="ListBullet"/>
      </w:pPr>
      <w:r>
        <w:t>Activity ID and name</w:t>
      </w:r>
    </w:p>
    <w:p>
      <w:pPr>
        <w:pStyle w:val="ListBullet"/>
      </w:pPr>
      <w:r>
        <w:t>Predecessor/successor</w:t>
      </w:r>
    </w:p>
    <w:p>
      <w:pPr>
        <w:pStyle w:val="ListBullet"/>
      </w:pPr>
      <w:r>
        <w:t>Baseline start/finish</w:t>
      </w:r>
    </w:p>
    <w:p>
      <w:pPr>
        <w:pStyle w:val="ListBullet"/>
      </w:pPr>
      <w:r>
        <w:t>Current/forecast start/finish</w:t>
      </w:r>
    </w:p>
    <w:p>
      <w:pPr>
        <w:pStyle w:val="ListBullet"/>
      </w:pPr>
      <w:r>
        <w:t>Actual start/finish</w:t>
      </w:r>
    </w:p>
    <w:p>
      <w:pPr>
        <w:pStyle w:val="ListBullet"/>
      </w:pPr>
      <w:r>
        <w:t>Duration</w:t>
      </w:r>
    </w:p>
    <w:p>
      <w:pPr>
        <w:pStyle w:val="ListBullet"/>
      </w:pPr>
      <w:r>
        <w:t>Float</w:t>
      </w:r>
    </w:p>
    <w:p>
      <w:pPr>
        <w:pStyle w:val="ListBullet"/>
      </w:pPr>
      <w:r>
        <w:t>Milestone</w:t>
      </w:r>
    </w:p>
    <w:p>
      <w:pPr>
        <w:pStyle w:val="ListBullet"/>
      </w:pPr>
      <w:r>
        <w:t>Planned percentage</w:t>
      </w:r>
    </w:p>
    <w:p>
      <w:pPr>
        <w:pStyle w:val="ListBullet"/>
      </w:pPr>
      <w:r>
        <w:t>Actual percentage</w:t>
      </w:r>
    </w:p>
    <w:p>
      <w:pPr>
        <w:pStyle w:val="ListBullet"/>
      </w:pPr>
      <w:r>
        <w:t>Planned quantity and actual quantity</w:t>
      </w:r>
    </w:p>
    <w:p>
      <w:pPr>
        <w:pStyle w:val="Heading2"/>
      </w:pPr>
      <w:r>
        <w:t>14.3 Execution / Field Data</w:t>
      </w:r>
    </w:p>
    <w:p>
      <w:pPr>
        <w:pStyle w:val="ListBullet"/>
      </w:pPr>
      <w:r>
        <w:t>Daily progress entries</w:t>
      </w:r>
    </w:p>
    <w:p>
      <w:pPr>
        <w:pStyle w:val="ListBullet"/>
      </w:pPr>
      <w:r>
        <w:t>Work quantity</w:t>
      </w:r>
    </w:p>
    <w:p>
      <w:pPr>
        <w:pStyle w:val="ListBullet"/>
      </w:pPr>
      <w:r>
        <w:t>Unit of measurement</w:t>
      </w:r>
    </w:p>
    <w:p>
      <w:pPr>
        <w:pStyle w:val="ListBullet"/>
      </w:pPr>
      <w:r>
        <w:t>Crew/manpower</w:t>
      </w:r>
    </w:p>
    <w:p>
      <w:pPr>
        <w:pStyle w:val="ListBullet"/>
      </w:pPr>
      <w:r>
        <w:t>Equipment used</w:t>
      </w:r>
    </w:p>
    <w:p>
      <w:pPr>
        <w:pStyle w:val="ListBullet"/>
      </w:pPr>
      <w:r>
        <w:t>Material consumed</w:t>
      </w:r>
    </w:p>
    <w:p>
      <w:pPr>
        <w:pStyle w:val="ListBullet"/>
      </w:pPr>
      <w:r>
        <w:t>Location/chainage/site section</w:t>
      </w:r>
    </w:p>
    <w:p>
      <w:pPr>
        <w:pStyle w:val="ListBullet"/>
      </w:pPr>
      <w:r>
        <w:t>Timestamp</w:t>
      </w:r>
    </w:p>
    <w:p>
      <w:pPr>
        <w:pStyle w:val="ListBullet"/>
      </w:pPr>
      <w:r>
        <w:t>GPS when appropriate</w:t>
      </w:r>
    </w:p>
    <w:p>
      <w:pPr>
        <w:pStyle w:val="ListBullet"/>
      </w:pPr>
      <w:r>
        <w:t>Photos/videos</w:t>
      </w:r>
    </w:p>
    <w:p>
      <w:pPr>
        <w:pStyle w:val="ListBullet"/>
      </w:pPr>
      <w:r>
        <w:t>Inspection/measurement evidence</w:t>
      </w:r>
    </w:p>
    <w:p>
      <w:pPr>
        <w:pStyle w:val="ListBullet"/>
      </w:pPr>
      <w:r>
        <w:t>Engineer/contractor verification</w:t>
      </w:r>
    </w:p>
    <w:p>
      <w:pPr>
        <w:pStyle w:val="ListBullet"/>
      </w:pPr>
      <w:r>
        <w:t>Reason for delay/blocker</w:t>
      </w:r>
    </w:p>
    <w:p>
      <w:pPr>
        <w:pStyle w:val="Heading2"/>
      </w:pPr>
      <w:r>
        <w:t>14.4 Procurement Data</w:t>
      </w:r>
    </w:p>
    <w:p>
      <w:pPr>
        <w:pStyle w:val="ListBullet"/>
      </w:pPr>
      <w:r>
        <w:t>Purchase order</w:t>
      </w:r>
    </w:p>
    <w:p>
      <w:pPr>
        <w:pStyle w:val="ListBullet"/>
      </w:pPr>
      <w:r>
        <w:t>Vendor</w:t>
      </w:r>
    </w:p>
    <w:p>
      <w:pPr>
        <w:pStyle w:val="ListBullet"/>
      </w:pPr>
      <w:r>
        <w:t>Material/equipment</w:t>
      </w:r>
    </w:p>
    <w:p>
      <w:pPr>
        <w:pStyle w:val="ListBullet"/>
      </w:pPr>
      <w:r>
        <w:t>Quantity</w:t>
      </w:r>
    </w:p>
    <w:p>
      <w:pPr>
        <w:pStyle w:val="ListBullet"/>
      </w:pPr>
      <w:r>
        <w:t>Order date</w:t>
      </w:r>
    </w:p>
    <w:p>
      <w:pPr>
        <w:pStyle w:val="ListBullet"/>
      </w:pPr>
      <w:r>
        <w:t>Promised delivery</w:t>
      </w:r>
    </w:p>
    <w:p>
      <w:pPr>
        <w:pStyle w:val="ListBullet"/>
      </w:pPr>
      <w:r>
        <w:t>Inspection status</w:t>
      </w:r>
    </w:p>
    <w:p>
      <w:pPr>
        <w:pStyle w:val="ListBullet"/>
      </w:pPr>
      <w:r>
        <w:t>Dispatch</w:t>
      </w:r>
    </w:p>
    <w:p>
      <w:pPr>
        <w:pStyle w:val="ListBullet"/>
      </w:pPr>
      <w:r>
        <w:t>Actual receipt</w:t>
      </w:r>
    </w:p>
    <w:p>
      <w:pPr>
        <w:pStyle w:val="ListBullet"/>
      </w:pPr>
      <w:r>
        <w:t>Material acceptance</w:t>
      </w:r>
    </w:p>
    <w:p>
      <w:pPr>
        <w:pStyle w:val="Heading2"/>
      </w:pPr>
      <w:r>
        <w:t>14.5 Financial Data</w:t>
      </w:r>
    </w:p>
    <w:p>
      <w:pPr>
        <w:pStyle w:val="ListBullet"/>
      </w:pPr>
      <w:r>
        <w:t>Approved cost</w:t>
      </w:r>
    </w:p>
    <w:p>
      <w:pPr>
        <w:pStyle w:val="ListBullet"/>
      </w:pPr>
      <w:r>
        <w:t>Committed cost</w:t>
      </w:r>
    </w:p>
    <w:p>
      <w:pPr>
        <w:pStyle w:val="ListBullet"/>
      </w:pPr>
      <w:r>
        <w:t>Actual expenditure</w:t>
      </w:r>
    </w:p>
    <w:p>
      <w:pPr>
        <w:pStyle w:val="ListBullet"/>
      </w:pPr>
      <w:r>
        <w:t>Invoice</w:t>
      </w:r>
    </w:p>
    <w:p>
      <w:pPr>
        <w:pStyle w:val="ListBullet"/>
      </w:pPr>
      <w:r>
        <w:t>Payment</w:t>
      </w:r>
    </w:p>
    <w:p>
      <w:pPr>
        <w:pStyle w:val="ListBullet"/>
      </w:pPr>
      <w:r>
        <w:t>Variation</w:t>
      </w:r>
    </w:p>
    <w:p>
      <w:pPr>
        <w:pStyle w:val="ListBullet"/>
      </w:pPr>
      <w:r>
        <w:t>Change order</w:t>
      </w:r>
    </w:p>
    <w:p>
      <w:pPr>
        <w:pStyle w:val="ListBullet"/>
      </w:pPr>
      <w:r>
        <w:t>Contractor claim</w:t>
      </w:r>
    </w:p>
    <w:p>
      <w:pPr>
        <w:pStyle w:val="ListBullet"/>
      </w:pPr>
      <w:r>
        <w:t>Cost impact of delay</w:t>
      </w:r>
    </w:p>
    <w:p>
      <w:pPr>
        <w:pStyle w:val="Heading2"/>
      </w:pPr>
      <w:r>
        <w:t>14.6 Quality and HSE Data</w:t>
      </w:r>
    </w:p>
    <w:p>
      <w:pPr>
        <w:pStyle w:val="ListBullet"/>
      </w:pPr>
      <w:r>
        <w:t>Inspection requests</w:t>
      </w:r>
    </w:p>
    <w:p>
      <w:pPr>
        <w:pStyle w:val="ListBullet"/>
      </w:pPr>
      <w:r>
        <w:t>Test results</w:t>
      </w:r>
    </w:p>
    <w:p>
      <w:pPr>
        <w:pStyle w:val="ListBullet"/>
      </w:pPr>
      <w:r>
        <w:t>Non-conformance reports</w:t>
      </w:r>
    </w:p>
    <w:p>
      <w:pPr>
        <w:pStyle w:val="ListBullet"/>
      </w:pPr>
      <w:r>
        <w:t>Rework</w:t>
      </w:r>
    </w:p>
    <w:p>
      <w:pPr>
        <w:pStyle w:val="ListBullet"/>
      </w:pPr>
      <w:r>
        <w:t>Permit status</w:t>
      </w:r>
    </w:p>
    <w:p>
      <w:pPr>
        <w:pStyle w:val="ListBullet"/>
      </w:pPr>
      <w:r>
        <w:t>Safety observations</w:t>
      </w:r>
    </w:p>
    <w:p>
      <w:pPr>
        <w:pStyle w:val="ListBullet"/>
      </w:pPr>
      <w:r>
        <w:t>Incidents</w:t>
      </w:r>
    </w:p>
    <w:p>
      <w:pPr>
        <w:pStyle w:val="ListBullet"/>
      </w:pPr>
      <w:r>
        <w:t>Corrective actions</w:t>
      </w:r>
    </w:p>
    <w:p>
      <w:pPr>
        <w:pStyle w:val="Heading1"/>
      </w:pPr>
      <w:r>
        <w:t>15. The Core Problem: Actual Progress Capture</w:t>
      </w:r>
    </w:p>
    <w:p>
      <w:r>
        <w:t>A weak project system stores “Activity = 80% complete.” A stronger system stores why it is 80% complete and what evidence supports that number.</w:t>
      </w:r>
    </w:p>
    <w:p>
      <w:r>
        <w:t>Example:</w:t>
      </w:r>
    </w:p>
    <w:tbl>
      <w:tblPr>
        <w:tblStyle w:val="TableGrid"/>
        <w:tblW w:type="auto" w:w="0"/>
        <w:jc w:val="center"/>
        <w:tblLook w:firstColumn="1" w:firstRow="1" w:lastColumn="0" w:lastRow="0" w:noHBand="0" w:noVBand="1" w:val="04A0"/>
      </w:tblPr>
      <w:tblGrid>
        <w:gridCol w:w="5040"/>
        <w:gridCol w:w="5040"/>
      </w:tblGrid>
      <w:tr>
        <w:tc>
          <w:tcPr>
            <w:tcW w:type="dxa" w:w="3024"/>
            <w:vAlign w:val="center"/>
          </w:tcPr>
          <w:p>
            <w:r>
              <w:rPr>
                <w:b/>
              </w:rPr>
              <w:t>Field</w:t>
            </w:r>
          </w:p>
        </w:tc>
        <w:tc>
          <w:tcPr>
            <w:tcW w:type="dxa" w:w="7920"/>
            <w:vAlign w:val="center"/>
          </w:tcPr>
          <w:p>
            <w:r>
              <w:rPr>
                <w:b/>
              </w:rPr>
              <w:t>Example</w:t>
            </w:r>
          </w:p>
        </w:tc>
      </w:tr>
      <w:tr>
        <w:tc>
          <w:tcPr>
            <w:tcW w:type="dxa" w:w="3024"/>
            <w:vAlign w:val="top"/>
          </w:tcPr>
          <w:p>
            <w:r>
              <w:t>Activity</w:t>
            </w:r>
          </w:p>
        </w:tc>
        <w:tc>
          <w:tcPr>
            <w:tcW w:type="dxa" w:w="7920"/>
            <w:vAlign w:val="top"/>
          </w:tcPr>
          <w:p>
            <w:r>
              <w:t>Pipeline Welding — Section B</w:t>
            </w:r>
          </w:p>
        </w:tc>
      </w:tr>
      <w:tr>
        <w:tc>
          <w:tcPr>
            <w:tcW w:type="dxa" w:w="3024"/>
            <w:vAlign w:val="top"/>
          </w:tcPr>
          <w:p>
            <w:r>
              <w:t>Activity ID</w:t>
            </w:r>
          </w:p>
        </w:tc>
        <w:tc>
          <w:tcPr>
            <w:tcW w:type="dxa" w:w="7920"/>
            <w:vAlign w:val="top"/>
          </w:tcPr>
          <w:p>
            <w:r>
              <w:t>WBS-104</w:t>
            </w:r>
          </w:p>
        </w:tc>
      </w:tr>
      <w:tr>
        <w:tc>
          <w:tcPr>
            <w:tcW w:type="dxa" w:w="3024"/>
            <w:vAlign w:val="top"/>
          </w:tcPr>
          <w:p>
            <w:r>
              <w:t>Planned quantity</w:t>
            </w:r>
          </w:p>
        </w:tc>
        <w:tc>
          <w:tcPr>
            <w:tcW w:type="dxa" w:w="7920"/>
            <w:vAlign w:val="top"/>
          </w:tcPr>
          <w:p>
            <w:r>
              <w:t>10 km</w:t>
            </w:r>
          </w:p>
        </w:tc>
      </w:tr>
      <w:tr>
        <w:tc>
          <w:tcPr>
            <w:tcW w:type="dxa" w:w="3024"/>
            <w:vAlign w:val="top"/>
          </w:tcPr>
          <w:p>
            <w:r>
              <w:t>Actual quantity</w:t>
            </w:r>
          </w:p>
        </w:tc>
        <w:tc>
          <w:tcPr>
            <w:tcW w:type="dxa" w:w="7920"/>
            <w:vAlign w:val="top"/>
          </w:tcPr>
          <w:p>
            <w:r>
              <w:t>7.2 km</w:t>
            </w:r>
          </w:p>
        </w:tc>
      </w:tr>
      <w:tr>
        <w:tc>
          <w:tcPr>
            <w:tcW w:type="dxa" w:w="3024"/>
            <w:vAlign w:val="top"/>
          </w:tcPr>
          <w:p>
            <w:r>
              <w:t>Calculated progress</w:t>
            </w:r>
          </w:p>
        </w:tc>
        <w:tc>
          <w:tcPr>
            <w:tcW w:type="dxa" w:w="7920"/>
            <w:vAlign w:val="top"/>
          </w:tcPr>
          <w:p>
            <w:r>
              <w:t>72%</w:t>
            </w:r>
          </w:p>
        </w:tc>
      </w:tr>
      <w:tr>
        <w:tc>
          <w:tcPr>
            <w:tcW w:type="dxa" w:w="3024"/>
            <w:vAlign w:val="top"/>
          </w:tcPr>
          <w:p>
            <w:r>
              <w:t>Evidence</w:t>
            </w:r>
          </w:p>
        </w:tc>
        <w:tc>
          <w:tcPr>
            <w:tcW w:type="dxa" w:w="7920"/>
            <w:vAlign w:val="top"/>
          </w:tcPr>
          <w:p>
            <w:r>
              <w:t>Site photos + measurement record + GPS + engineer verification</w:t>
            </w:r>
          </w:p>
        </w:tc>
      </w:tr>
      <w:tr>
        <w:tc>
          <w:tcPr>
            <w:tcW w:type="dxa" w:w="3024"/>
            <w:vAlign w:val="top"/>
          </w:tcPr>
          <w:p>
            <w:r>
              <w:t>Reported on</w:t>
            </w:r>
          </w:p>
        </w:tc>
        <w:tc>
          <w:tcPr>
            <w:tcW w:type="dxa" w:w="7920"/>
            <w:vAlign w:val="top"/>
          </w:tcPr>
          <w:p>
            <w:r>
              <w:t>07-Sep-2026</w:t>
            </w:r>
          </w:p>
        </w:tc>
      </w:tr>
      <w:tr>
        <w:tc>
          <w:tcPr>
            <w:tcW w:type="dxa" w:w="3024"/>
            <w:vAlign w:val="top"/>
          </w:tcPr>
          <w:p>
            <w:r>
              <w:t>Next activity</w:t>
            </w:r>
          </w:p>
        </w:tc>
        <w:tc>
          <w:tcPr>
            <w:tcW w:type="dxa" w:w="7920"/>
            <w:vAlign w:val="top"/>
          </w:tcPr>
          <w:p>
            <w:r>
              <w:t>NDT</w:t>
            </w:r>
          </w:p>
        </w:tc>
      </w:tr>
      <w:tr>
        <w:tc>
          <w:tcPr>
            <w:tcW w:type="dxa" w:w="3024"/>
            <w:vAlign w:val="top"/>
          </w:tcPr>
          <w:p>
            <w:r>
              <w:t>Status</w:t>
            </w:r>
          </w:p>
        </w:tc>
        <w:tc>
          <w:tcPr>
            <w:tcW w:type="dxa" w:w="7920"/>
            <w:vAlign w:val="top"/>
          </w:tcPr>
          <w:p>
            <w:r>
              <w:t>In progress</w:t>
            </w:r>
          </w:p>
        </w:tc>
      </w:tr>
    </w:tbl>
    <w:p/>
    <w:p>
      <w:r>
        <w:t>This creates an auditable chain from execution evidence to schedule progress.</w:t>
      </w:r>
    </w:p>
    <w:p>
      <w:pPr>
        <w:pStyle w:val="Heading1"/>
      </w:pPr>
      <w:r>
        <w:t>16. Intelligent Data Capture — What It Could Mean</w:t>
      </w:r>
    </w:p>
    <w:p>
      <w:pPr>
        <w:pStyle w:val="ListBullet"/>
      </w:pPr>
      <w:r>
        <w:t>Mobile/offline field forms for structured progress capture.</w:t>
      </w:r>
    </w:p>
    <w:p>
      <w:pPr>
        <w:pStyle w:val="ListBullet"/>
      </w:pPr>
      <w:r>
        <w:t>Photo/video evidence attached to activities.</w:t>
      </w:r>
    </w:p>
    <w:p>
      <w:pPr>
        <w:pStyle w:val="ListBullet"/>
      </w:pPr>
      <w:r>
        <w:t>OCR/document extraction from contractor reports, measurement sheets and invoices.</w:t>
      </w:r>
    </w:p>
    <w:p>
      <w:pPr>
        <w:pStyle w:val="ListBullet"/>
      </w:pPr>
      <w:r>
        <w:t>Speech-to-text for field updates where typing is inconvenient.</w:t>
      </w:r>
    </w:p>
    <w:p>
      <w:pPr>
        <w:pStyle w:val="ListBullet"/>
      </w:pPr>
      <w:r>
        <w:t>Computer vision for suitable construction evidence, with human verification rather than blind automation.</w:t>
      </w:r>
    </w:p>
    <w:p>
      <w:pPr>
        <w:pStyle w:val="ListBullet"/>
      </w:pPr>
      <w:r>
        <w:t>GPS/chainage/site-section capture where location is a meaningful identifier.</w:t>
      </w:r>
    </w:p>
    <w:p>
      <w:pPr>
        <w:pStyle w:val="ListBullet"/>
      </w:pPr>
      <w:r>
        <w:t>IoT/equipment feeds where available.</w:t>
      </w:r>
    </w:p>
    <w:p>
      <w:pPr>
        <w:pStyle w:val="ListBullet"/>
      </w:pPr>
      <w:r>
        <w:t>Contractor portal/API integration.</w:t>
      </w:r>
    </w:p>
    <w:p>
      <w:pPr>
        <w:pStyle w:val="ListBullet"/>
      </w:pPr>
      <w:r>
        <w:t>Automated validation of reported quantities against planned scope.</w:t>
      </w:r>
    </w:p>
    <w:p>
      <w:pPr>
        <w:pStyle w:val="ListBullet"/>
      </w:pPr>
      <w:r>
        <w:t>Duplicate/anomaly detection.</w:t>
      </w:r>
    </w:p>
    <w:p>
      <w:pPr>
        <w:pStyle w:val="ListBullet"/>
      </w:pPr>
      <w:r>
        <w:t>Approval workflows for engineer/PMC/OIL verification.</w:t>
      </w:r>
    </w:p>
    <w:p>
      <w:pPr>
        <w:pStyle w:val="Heading1"/>
      </w:pPr>
      <w:r>
        <w:t>17. Schedule-Linking — The Key Differentiator</w:t>
      </w:r>
    </w:p>
    <w:p>
      <w:r>
        <w:t>The system should transform an unstructured execution statement such as “1.2 km welding completed today in Section B” into a structured update tied to the correct project, WBS, activity, location, quantity and schedule.</w:t>
      </w:r>
    </w:p>
    <w:p>
      <w:pPr>
        <w:pStyle w:val="ListNumber"/>
      </w:pPr>
      <w:r>
        <w:t>Identify project/site from user/context.</w:t>
      </w:r>
    </w:p>
    <w:p>
      <w:pPr>
        <w:pStyle w:val="ListNumber"/>
      </w:pPr>
      <w:r>
        <w:t>Identify work type and location from the field update.</w:t>
      </w:r>
    </w:p>
    <w:p>
      <w:pPr>
        <w:pStyle w:val="ListNumber"/>
      </w:pPr>
      <w:r>
        <w:t>Map the update to the correct WBS/activity.</w:t>
      </w:r>
    </w:p>
    <w:p>
      <w:pPr>
        <w:pStyle w:val="ListNumber"/>
      </w:pPr>
      <w:r>
        <w:t>Validate the unit and quantity.</w:t>
      </w:r>
    </w:p>
    <w:p>
      <w:pPr>
        <w:pStyle w:val="ListNumber"/>
      </w:pPr>
      <w:r>
        <w:t>Compare planned quantity and planned timing.</w:t>
      </w:r>
    </w:p>
    <w:p>
      <w:pPr>
        <w:pStyle w:val="ListNumber"/>
      </w:pPr>
      <w:r>
        <w:t>Calculate actual progress.</w:t>
      </w:r>
    </w:p>
    <w:p>
      <w:pPr>
        <w:pStyle w:val="ListNumber"/>
      </w:pPr>
      <w:r>
        <w:t>Update the activity state subject to the appropriate approval workflow.</w:t>
      </w:r>
    </w:p>
    <w:p>
      <w:pPr>
        <w:pStyle w:val="ListNumber"/>
      </w:pPr>
      <w:r>
        <w:t>Evaluate predecessor/successor impact.</w:t>
      </w:r>
    </w:p>
    <w:p>
      <w:pPr>
        <w:pStyle w:val="ListNumber"/>
      </w:pPr>
      <w:r>
        <w:t>Recalculate forecast dates where appropriate.</w:t>
      </w:r>
    </w:p>
    <w:p>
      <w:pPr>
        <w:pStyle w:val="ListNumber"/>
      </w:pPr>
      <w:r>
        <w:t>Raise alerts if a milestone or critical-path activity is at risk.</w:t>
      </w:r>
    </w:p>
    <w:p>
      <w:pPr>
        <w:pStyle w:val="Heading1"/>
      </w:pPr>
      <w:r>
        <w:t>18. Dependency-Driven Delay Intelligence</w:t>
      </w:r>
    </w:p>
    <w:p>
      <w:r>
        <w:t>Example scenario: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tcPr>
          <w:p>
            <w:r>
              <w:rPr>
                <w:b/>
              </w:rPr>
              <w:t>Activity</w:t>
            </w:r>
          </w:p>
        </w:tc>
        <w:tc>
          <w:tcPr>
            <w:tcW w:type="dxa" w:w="2160"/>
            <w:vAlign w:val="center"/>
          </w:tcPr>
          <w:p>
            <w:r>
              <w:rPr>
                <w:b/>
              </w:rPr>
              <w:t>Baseline</w:t>
            </w:r>
          </w:p>
        </w:tc>
        <w:tc>
          <w:tcPr>
            <w:tcW w:type="dxa" w:w="2880"/>
            <w:vAlign w:val="center"/>
          </w:tcPr>
          <w:p>
            <w:r>
              <w:rPr>
                <w:b/>
              </w:rPr>
              <w:t>Actual/Forecast</w:t>
            </w:r>
          </w:p>
        </w:tc>
        <w:tc>
          <w:tcPr>
            <w:tcW w:type="dxa" w:w="3024"/>
            <w:vAlign w:val="center"/>
          </w:tcPr>
          <w:p>
            <w:r>
              <w:rPr>
                <w:b/>
              </w:rPr>
              <w:t>Effect</w:t>
            </w:r>
          </w:p>
        </w:tc>
      </w:tr>
      <w:tr>
        <w:tc>
          <w:tcPr>
            <w:tcW w:type="dxa" w:w="2880"/>
            <w:vAlign w:val="top"/>
          </w:tcPr>
          <w:p>
            <w:r>
              <w:t>Equipment procurement</w:t>
            </w:r>
          </w:p>
        </w:tc>
        <w:tc>
          <w:tcPr>
            <w:tcW w:type="dxa" w:w="2160"/>
            <w:vAlign w:val="top"/>
          </w:tcPr>
          <w:p>
            <w:r>
              <w:t>10–30 Jan</w:t>
            </w:r>
          </w:p>
        </w:tc>
        <w:tc>
          <w:tcPr>
            <w:tcW w:type="dxa" w:w="2880"/>
            <w:vAlign w:val="top"/>
          </w:tcPr>
          <w:p>
            <w:r>
              <w:t>20 Jan–12 Feb</w:t>
            </w:r>
          </w:p>
        </w:tc>
        <w:tc>
          <w:tcPr>
            <w:tcW w:type="dxa" w:w="3024"/>
            <w:vAlign w:val="top"/>
          </w:tcPr>
          <w:p>
            <w:r>
              <w:t>13-day late finish</w:t>
            </w:r>
          </w:p>
        </w:tc>
      </w:tr>
      <w:tr>
        <w:tc>
          <w:tcPr>
            <w:tcW w:type="dxa" w:w="2880"/>
            <w:vAlign w:val="top"/>
          </w:tcPr>
          <w:p>
            <w:r>
              <w:t>Equipment installation</w:t>
            </w:r>
          </w:p>
        </w:tc>
        <w:tc>
          <w:tcPr>
            <w:tcW w:type="dxa" w:w="2160"/>
            <w:vAlign w:val="top"/>
          </w:tcPr>
          <w:p>
            <w:r>
              <w:t>1–15 Feb</w:t>
            </w:r>
          </w:p>
        </w:tc>
        <w:tc>
          <w:tcPr>
            <w:tcW w:type="dxa" w:w="2880"/>
            <w:vAlign w:val="top"/>
          </w:tcPr>
          <w:p>
            <w:r>
              <w:t>Blocked</w:t>
            </w:r>
          </w:p>
        </w:tc>
        <w:tc>
          <w:tcPr>
            <w:tcW w:type="dxa" w:w="3024"/>
            <w:vAlign w:val="top"/>
          </w:tcPr>
          <w:p>
            <w:r>
              <w:t>Cannot start because equipment is unavailable</w:t>
            </w:r>
          </w:p>
        </w:tc>
      </w:tr>
      <w:tr>
        <w:tc>
          <w:tcPr>
            <w:tcW w:type="dxa" w:w="2880"/>
            <w:vAlign w:val="top"/>
          </w:tcPr>
          <w:p>
            <w:r>
              <w:t>Electrical works</w:t>
            </w:r>
          </w:p>
        </w:tc>
        <w:tc>
          <w:tcPr>
            <w:tcW w:type="dxa" w:w="2160"/>
            <w:vAlign w:val="top"/>
          </w:tcPr>
          <w:p>
            <w:r>
              <w:t>10–25 Feb</w:t>
            </w:r>
          </w:p>
        </w:tc>
        <w:tc>
          <w:tcPr>
            <w:tcW w:type="dxa" w:w="2880"/>
            <w:vAlign w:val="top"/>
          </w:tcPr>
          <w:p>
            <w:r>
              <w:t>At risk</w:t>
            </w:r>
          </w:p>
        </w:tc>
        <w:tc>
          <w:tcPr>
            <w:tcW w:type="dxa" w:w="3024"/>
            <w:vAlign w:val="top"/>
          </w:tcPr>
          <w:p>
            <w:r>
              <w:t>Depends on installation</w:t>
            </w:r>
          </w:p>
        </w:tc>
      </w:tr>
      <w:tr>
        <w:tc>
          <w:tcPr>
            <w:tcW w:type="dxa" w:w="2880"/>
            <w:vAlign w:val="top"/>
          </w:tcPr>
          <w:p>
            <w:r>
              <w:t>Testing</w:t>
            </w:r>
          </w:p>
        </w:tc>
        <w:tc>
          <w:tcPr>
            <w:tcW w:type="dxa" w:w="2160"/>
            <w:vAlign w:val="top"/>
          </w:tcPr>
          <w:p>
            <w:r>
              <w:t>26 Feb–5 Mar</w:t>
            </w:r>
          </w:p>
        </w:tc>
        <w:tc>
          <w:tcPr>
            <w:tcW w:type="dxa" w:w="2880"/>
            <w:vAlign w:val="top"/>
          </w:tcPr>
          <w:p>
            <w:r>
              <w:t>At risk</w:t>
            </w:r>
          </w:p>
        </w:tc>
        <w:tc>
          <w:tcPr>
            <w:tcW w:type="dxa" w:w="3024"/>
            <w:vAlign w:val="top"/>
          </w:tcPr>
          <w:p>
            <w:r>
              <w:t>Downstream dependency</w:t>
            </w:r>
          </w:p>
        </w:tc>
      </w:tr>
      <w:tr>
        <w:tc>
          <w:tcPr>
            <w:tcW w:type="dxa" w:w="2880"/>
            <w:vAlign w:val="top"/>
          </w:tcPr>
          <w:p>
            <w:r>
              <w:t>Commissioning</w:t>
            </w:r>
          </w:p>
        </w:tc>
        <w:tc>
          <w:tcPr>
            <w:tcW w:type="dxa" w:w="2160"/>
            <w:vAlign w:val="top"/>
          </w:tcPr>
          <w:p>
            <w:r>
              <w:t>6–10 Mar</w:t>
            </w:r>
          </w:p>
        </w:tc>
        <w:tc>
          <w:tcPr>
            <w:tcW w:type="dxa" w:w="2880"/>
            <w:vAlign w:val="top"/>
          </w:tcPr>
          <w:p>
            <w:r>
              <w:t>Potential delay</w:t>
            </w:r>
          </w:p>
        </w:tc>
        <w:tc>
          <w:tcPr>
            <w:tcW w:type="dxa" w:w="3024"/>
            <w:vAlign w:val="top"/>
          </w:tcPr>
          <w:p>
            <w:r>
              <w:t>Potential milestone impact</w:t>
            </w:r>
          </w:p>
        </w:tc>
      </w:tr>
    </w:tbl>
    <w:p/>
    <w:p>
      <w:r>
        <w:t>The important output is not merely “procurement is 13 days late.” The intelligent system should explain that the late procurement blocks installation and can propagate into testing and commissioning.</w:t>
      </w:r>
    </w:p>
    <w:p>
      <w:pPr>
        <w:pStyle w:val="Heading1"/>
      </w:pPr>
      <w:r>
        <w:t>19. Recommended High-Level System Architecture</w:t>
      </w:r>
    </w:p>
    <w:p>
      <w:r>
        <w:t>A strong conceptual architecture for the SIH prototype is:</w:t>
      </w:r>
    </w:p>
    <w:p>
      <w:r>
        <w:t>OIL Existing Systems (TIEMCHART / SAP / other systems)</w:t>
        <w:br/>
        <w:t xml:space="preserve">                         ↓</w:t>
        <w:br/>
        <w:t xml:space="preserve">              Integration / Data Layer</w:t>
        <w:br/>
        <w:t xml:space="preserve">                         ↓</w:t>
        <w:br/>
        <w:t xml:space="preserve">          ┌──────────────┴──────────────┐</w:t>
        <w:br/>
        <w:t xml:space="preserve">          ↓                             ↓</w:t>
        <w:br/>
        <w:t xml:space="preserve">   Field / Contractor               Documents / IoT</w:t>
        <w:br/>
        <w:t xml:space="preserve">   Mobile / Web Capture             Reports / Sensors</w:t>
        <w:br/>
        <w:t xml:space="preserve">          ↓                             ↓</w:t>
        <w:br/>
        <w:t xml:space="preserve">          └──────────────┬──────────────┘</w:t>
        <w:br/>
        <w:t xml:space="preserve">                         ↓</w:t>
        <w:br/>
        <w:t xml:space="preserve">             Data Validation &amp; Normalization</w:t>
        <w:br/>
        <w:t xml:space="preserve">                         ↓</w:t>
        <w:br/>
        <w:t xml:space="preserve">              Activity / WBS Mapping Engine</w:t>
        <w:br/>
        <w:t xml:space="preserve">                         ↓</w:t>
        <w:br/>
        <w:t xml:space="preserve">             Actual Progress Calculation</w:t>
        <w:br/>
        <w:t xml:space="preserve">                         ↓</w:t>
        <w:br/>
        <w:t xml:space="preserve">              Schedule Reconciliation Engine</w:t>
        <w:br/>
        <w:t xml:space="preserve">                         ↓</w:t>
        <w:br/>
        <w:t xml:space="preserve">       Delay / Dependency / Forecast Intelligence</w:t>
        <w:br/>
        <w:t xml:space="preserve">                         ↓</w:t>
        <w:br/>
        <w:t xml:space="preserve">           Alerts + Project/Portfolio Views</w:t>
        <w:br/>
        <w:t xml:space="preserve">                         ↓</w:t>
        <w:br/>
        <w:t xml:space="preserve">                OIL Management / CCC</w:t>
      </w:r>
    </w:p>
    <w:p>
      <w:r>
        <w:t>The final architecture should be adapted after the team understands what interfaces/APIs/data exports are actually available. Do not assume direct access to OIL's internal systems.</w:t>
      </w:r>
    </w:p>
    <w:p>
      <w:pPr>
        <w:pStyle w:val="Heading1"/>
      </w:pPr>
      <w:r>
        <w:t>20. Stakeholder Model</w:t>
      </w:r>
    </w:p>
    <w:p>
      <w:pPr>
        <w:pStyle w:val="ListBullet"/>
      </w:pPr>
      <w:r>
        <w:t>OIL management / project leadership</w:t>
      </w:r>
    </w:p>
    <w:p>
      <w:pPr>
        <w:pStyle w:val="ListBullet"/>
      </w:pPr>
      <w:r>
        <w:t>Project manager and project office</w:t>
      </w:r>
    </w:p>
    <w:p>
      <w:pPr>
        <w:pStyle w:val="ListBullet"/>
      </w:pPr>
      <w:r>
        <w:t>Engineering team</w:t>
      </w:r>
    </w:p>
    <w:p>
      <w:pPr>
        <w:pStyle w:val="ListBullet"/>
      </w:pPr>
      <w:r>
        <w:t>Procurement/materials team</w:t>
      </w:r>
    </w:p>
    <w:p>
      <w:pPr>
        <w:pStyle w:val="ListBullet"/>
      </w:pPr>
      <w:r>
        <w:t>Finance/accounts</w:t>
      </w:r>
    </w:p>
    <w:p>
      <w:pPr>
        <w:pStyle w:val="ListBullet"/>
      </w:pPr>
      <w:r>
        <w:t>HSE</w:t>
      </w:r>
    </w:p>
    <w:p>
      <w:pPr>
        <w:pStyle w:val="ListBullet"/>
      </w:pPr>
      <w:r>
        <w:t>QA/QC and inspection</w:t>
      </w:r>
    </w:p>
    <w:p>
      <w:pPr>
        <w:pStyle w:val="ListBullet"/>
      </w:pPr>
      <w:r>
        <w:t>Site engineers and supervisors</w:t>
      </w:r>
    </w:p>
    <w:p>
      <w:pPr>
        <w:pStyle w:val="ListBullet"/>
      </w:pPr>
      <w:r>
        <w:t>EPC/EPCM/PMC organizations</w:t>
      </w:r>
    </w:p>
    <w:p>
      <w:pPr>
        <w:pStyle w:val="ListBullet"/>
      </w:pPr>
      <w:r>
        <w:t>Construction contractors</w:t>
      </w:r>
    </w:p>
    <w:p>
      <w:pPr>
        <w:pStyle w:val="ListBullet"/>
      </w:pPr>
      <w:r>
        <w:t>Subcontractors</w:t>
      </w:r>
    </w:p>
    <w:p>
      <w:pPr>
        <w:pStyle w:val="ListBullet"/>
      </w:pPr>
      <w:r>
        <w:t>Vendors</w:t>
      </w:r>
    </w:p>
    <w:p>
      <w:pPr>
        <w:pStyle w:val="ListBullet"/>
      </w:pPr>
      <w:r>
        <w:t>Regulatory/statutory stakeholders where applicable</w:t>
      </w:r>
    </w:p>
    <w:p>
      <w:pPr>
        <w:pStyle w:val="ListBullet"/>
      </w:pPr>
      <w:r>
        <w:t>Operations/maintenance teams during handover</w:t>
      </w:r>
    </w:p>
    <w:p>
      <w:r>
        <w:t>Different stakeholders need different views. A contractor may need task submission and evidence upload; a site engineer needs verification; a project manager needs schedule variance; senior management needs milestone/portfolio risk.</w:t>
      </w:r>
    </w:p>
    <w:p>
      <w:pPr>
        <w:pStyle w:val="Heading1"/>
      </w:pPr>
      <w:r>
        <w:t>21. Realistic OIL Project Examples for the SIH Demo</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tcPr>
          <w:p>
            <w:r>
              <w:rPr>
                <w:b/>
              </w:rPr>
              <w:t>Demo option</w:t>
            </w:r>
          </w:p>
        </w:tc>
        <w:tc>
          <w:tcPr>
            <w:tcW w:type="dxa" w:w="4896"/>
            <w:vAlign w:val="center"/>
          </w:tcPr>
          <w:p>
            <w:r>
              <w:rPr>
                <w:b/>
              </w:rPr>
              <w:t>Why it is useful</w:t>
            </w:r>
          </w:p>
        </w:tc>
        <w:tc>
          <w:tcPr>
            <w:tcW w:type="dxa" w:w="3888"/>
            <w:vAlign w:val="center"/>
          </w:tcPr>
          <w:p>
            <w:r>
              <w:rPr>
                <w:b/>
              </w:rPr>
              <w:t>Suggested progress units</w:t>
            </w:r>
          </w:p>
        </w:tc>
      </w:tr>
      <w:tr>
        <w:tc>
          <w:tcPr>
            <w:tcW w:type="dxa" w:w="2448"/>
            <w:vAlign w:val="top"/>
          </w:tcPr>
          <w:p>
            <w:r>
              <w:t>Pipeline rehabilitation</w:t>
            </w:r>
          </w:p>
        </w:tc>
        <w:tc>
          <w:tcPr>
            <w:tcW w:type="dxa" w:w="4896"/>
            <w:vAlign w:val="top"/>
          </w:tcPr>
          <w:p>
            <w:r>
              <w:t>Strong WBS, geographic sections, measurable quantities, inspection evidence</w:t>
            </w:r>
          </w:p>
        </w:tc>
        <w:tc>
          <w:tcPr>
            <w:tcW w:type="dxa" w:w="3888"/>
            <w:vAlign w:val="top"/>
          </w:tcPr>
          <w:p>
            <w:r>
              <w:t>km, welds, joints, coating length</w:t>
            </w:r>
          </w:p>
        </w:tc>
      </w:tr>
      <w:tr>
        <w:tc>
          <w:tcPr>
            <w:tcW w:type="dxa" w:w="2448"/>
            <w:vAlign w:val="top"/>
          </w:tcPr>
          <w:p>
            <w:r>
              <w:t>Pipeline river crossing</w:t>
            </w:r>
          </w:p>
        </w:tc>
        <w:tc>
          <w:tcPr>
            <w:tcW w:type="dxa" w:w="4896"/>
            <w:vAlign w:val="top"/>
          </w:tcPr>
          <w:p>
            <w:r>
              <w:t>Clear engineering → construction → testing dependency chain</w:t>
            </w:r>
          </w:p>
        </w:tc>
        <w:tc>
          <w:tcPr>
            <w:tcW w:type="dxa" w:w="3888"/>
            <w:vAlign w:val="top"/>
          </w:tcPr>
          <w:p>
            <w:r>
              <w:t>crossing completion, bore length, pipe installation</w:t>
            </w:r>
          </w:p>
        </w:tc>
      </w:tr>
      <w:tr>
        <w:tc>
          <w:tcPr>
            <w:tcW w:type="dxa" w:w="2448"/>
            <w:vAlign w:val="top"/>
          </w:tcPr>
          <w:p>
            <w:r>
              <w:t>Gas gathering station</w:t>
            </w:r>
          </w:p>
        </w:tc>
        <w:tc>
          <w:tcPr>
            <w:tcW w:type="dxa" w:w="4896"/>
            <w:vAlign w:val="top"/>
          </w:tcPr>
          <w:p>
            <w:r>
              <w:t>Combines civil, mechanical, piping, electrical and commissioning</w:t>
            </w:r>
          </w:p>
        </w:tc>
        <w:tc>
          <w:tcPr>
            <w:tcW w:type="dxa" w:w="3888"/>
            <w:vAlign w:val="top"/>
          </w:tcPr>
          <w:p>
            <w:r>
              <w:t>equipment count, foundations, piping, cable, tests</w:t>
            </w:r>
          </w:p>
        </w:tc>
      </w:tr>
      <w:tr>
        <w:tc>
          <w:tcPr>
            <w:tcW w:type="dxa" w:w="2448"/>
            <w:vAlign w:val="top"/>
          </w:tcPr>
          <w:p>
            <w:r>
              <w:t>Storage tank</w:t>
            </w:r>
          </w:p>
        </w:tc>
        <w:tc>
          <w:tcPr>
            <w:tcW w:type="dxa" w:w="4896"/>
            <w:vAlign w:val="top"/>
          </w:tcPr>
          <w:p>
            <w:r>
              <w:t>Good multi-discipline construction example</w:t>
            </w:r>
          </w:p>
        </w:tc>
        <w:tc>
          <w:tcPr>
            <w:tcW w:type="dxa" w:w="3888"/>
            <w:vAlign w:val="top"/>
          </w:tcPr>
          <w:p>
            <w:r>
              <w:t>concrete volume, plates, shell courses, piping, tests</w:t>
            </w:r>
          </w:p>
        </w:tc>
      </w:tr>
      <w:tr>
        <w:tc>
          <w:tcPr>
            <w:tcW w:type="dxa" w:w="2448"/>
            <w:vAlign w:val="top"/>
          </w:tcPr>
          <w:p>
            <w:r>
              <w:t>Refinery package</w:t>
            </w:r>
          </w:p>
        </w:tc>
        <w:tc>
          <w:tcPr>
            <w:tcW w:type="dxa" w:w="4896"/>
            <w:vAlign w:val="top"/>
          </w:tcPr>
          <w:p>
            <w:r>
              <w:t>Complex procurement and interdependencies</w:t>
            </w:r>
          </w:p>
        </w:tc>
        <w:tc>
          <w:tcPr>
            <w:tcW w:type="dxa" w:w="3888"/>
            <w:vAlign w:val="top"/>
          </w:tcPr>
          <w:p>
            <w:r>
              <w:t>equipment installed, piping, E&amp;I, commissioning</w:t>
            </w:r>
          </w:p>
        </w:tc>
      </w:tr>
      <w:tr>
        <w:tc>
          <w:tcPr>
            <w:tcW w:type="dxa" w:w="2448"/>
            <w:vAlign w:val="top"/>
          </w:tcPr>
          <w:p>
            <w:r>
              <w:t>Drilling campaign</w:t>
            </w:r>
          </w:p>
        </w:tc>
        <w:tc>
          <w:tcPr>
            <w:tcW w:type="dxa" w:w="4896"/>
            <w:vAlign w:val="top"/>
          </w:tcPr>
          <w:p>
            <w:r>
              <w:t>Shows operational project/activity tracking</w:t>
            </w:r>
          </w:p>
        </w:tc>
        <w:tc>
          <w:tcPr>
            <w:tcW w:type="dxa" w:w="3888"/>
            <w:vAlign w:val="top"/>
          </w:tcPr>
          <w:p>
            <w:r>
              <w:t>depth, well milestones, days, sections</w:t>
            </w:r>
          </w:p>
        </w:tc>
      </w:tr>
    </w:tbl>
    <w:p/>
    <w:p>
      <w:pPr>
        <w:pStyle w:val="Heading1"/>
      </w:pPr>
      <w:r>
        <w:t>22. KPIs the System Should Potentially Show</w:t>
      </w:r>
    </w:p>
    <w:p>
      <w:pPr>
        <w:pStyle w:val="ListBullet"/>
      </w:pPr>
      <w:r>
        <w:t>Planned vs actual physical progress</w:t>
      </w:r>
    </w:p>
    <w:p>
      <w:pPr>
        <w:pStyle w:val="ListBullet"/>
      </w:pPr>
      <w:r>
        <w:t>Schedule variance</w:t>
      </w:r>
    </w:p>
    <w:p>
      <w:pPr>
        <w:pStyle w:val="ListBullet"/>
      </w:pPr>
      <w:r>
        <w:t>Milestone variance</w:t>
      </w:r>
    </w:p>
    <w:p>
      <w:pPr>
        <w:pStyle w:val="ListBullet"/>
      </w:pPr>
      <w:r>
        <w:t>Forecast completion date</w:t>
      </w:r>
    </w:p>
    <w:p>
      <w:pPr>
        <w:pStyle w:val="ListBullet"/>
      </w:pPr>
      <w:r>
        <w:t>Critical-path activity status</w:t>
      </w:r>
    </w:p>
    <w:p>
      <w:pPr>
        <w:pStyle w:val="ListBullet"/>
      </w:pPr>
      <w:r>
        <w:t>At-risk activities</w:t>
      </w:r>
    </w:p>
    <w:p>
      <w:pPr>
        <w:pStyle w:val="ListBullet"/>
      </w:pPr>
      <w:r>
        <w:t>Dependency/blocker count</w:t>
      </w:r>
    </w:p>
    <w:p>
      <w:pPr>
        <w:pStyle w:val="ListBullet"/>
      </w:pPr>
      <w:r>
        <w:t>Progress evidence coverage</w:t>
      </w:r>
    </w:p>
    <w:p>
      <w:pPr>
        <w:pStyle w:val="ListBullet"/>
      </w:pPr>
      <w:r>
        <w:t>Unverified progress submissions</w:t>
      </w:r>
    </w:p>
    <w:p>
      <w:pPr>
        <w:pStyle w:val="ListBullet"/>
      </w:pPr>
      <w:r>
        <w:t>Procurement delay days</w:t>
      </w:r>
    </w:p>
    <w:p>
      <w:pPr>
        <w:pStyle w:val="ListBullet"/>
      </w:pPr>
      <w:r>
        <w:t>Material availability</w:t>
      </w:r>
    </w:p>
    <w:p>
      <w:pPr>
        <w:pStyle w:val="ListBullet"/>
      </w:pPr>
      <w:r>
        <w:t>Contractor performance</w:t>
      </w:r>
    </w:p>
    <w:p>
      <w:pPr>
        <w:pStyle w:val="ListBullet"/>
      </w:pPr>
      <w:r>
        <w:t>Cost variance / commitment status</w:t>
      </w:r>
    </w:p>
    <w:p>
      <w:pPr>
        <w:pStyle w:val="ListBullet"/>
      </w:pPr>
      <w:r>
        <w:t>Change-order impact</w:t>
      </w:r>
    </w:p>
    <w:p>
      <w:pPr>
        <w:pStyle w:val="ListBullet"/>
      </w:pPr>
      <w:r>
        <w:t>Manpower/equipment utilization</w:t>
      </w:r>
    </w:p>
    <w:p>
      <w:pPr>
        <w:pStyle w:val="ListBullet"/>
      </w:pPr>
      <w:r>
        <w:t>Inspection/NCR backlog</w:t>
      </w:r>
    </w:p>
    <w:p>
      <w:pPr>
        <w:pStyle w:val="ListBullet"/>
      </w:pPr>
      <w:r>
        <w:t>HSE action backlog</w:t>
      </w:r>
    </w:p>
    <w:p>
      <w:pPr>
        <w:pStyle w:val="ListBullet"/>
      </w:pPr>
      <w:r>
        <w:t>Project-level risk score</w:t>
      </w:r>
    </w:p>
    <w:p>
      <w:pPr>
        <w:pStyle w:val="ListBullet"/>
      </w:pPr>
      <w:r>
        <w:t>Portfolio-level projects requiring intervention</w:t>
      </w:r>
    </w:p>
    <w:p>
      <w:pPr>
        <w:pStyle w:val="Heading1"/>
      </w:pPr>
      <w:r>
        <w:t>23. What the Team Should NOT Pitch as the Main Innovation</w:t>
      </w:r>
    </w:p>
    <w:p>
      <w:pPr>
        <w:pStyle w:val="ListBullet"/>
      </w:pPr>
      <w:r>
        <w:t>A generic project-management website.</w:t>
      </w:r>
    </w:p>
    <w:p>
      <w:pPr>
        <w:pStyle w:val="ListBullet"/>
      </w:pPr>
      <w:r>
        <w:t>Only a Gantt-chart generator.</w:t>
      </w:r>
    </w:p>
    <w:p>
      <w:pPr>
        <w:pStyle w:val="ListBullet"/>
      </w:pPr>
      <w:r>
        <w:t>Only a dashboard.</w:t>
      </w:r>
    </w:p>
    <w:p>
      <w:pPr>
        <w:pStyle w:val="ListBullet"/>
      </w:pPr>
      <w:r>
        <w:t>Only an AI delay-prediction model.</w:t>
      </w:r>
    </w:p>
    <w:p>
      <w:pPr>
        <w:pStyle w:val="ListBullet"/>
      </w:pPr>
      <w:r>
        <w:t>Only a field attendance application.</w:t>
      </w:r>
    </w:p>
    <w:p>
      <w:pPr>
        <w:pStyle w:val="ListBullet"/>
      </w:pPr>
      <w:r>
        <w:t>Only a document-management system.</w:t>
      </w:r>
    </w:p>
    <w:p>
      <w:r>
        <w:t>Each of these can be a component, but none alone addresses the planning-to-execution bridge. The differentiation should come from reliable actual-progress capture + schedule linking + evidence + dependency intelligence.</w:t>
      </w:r>
    </w:p>
    <w:p>
      <w:pPr>
        <w:pStyle w:val="Heading1"/>
      </w:pPr>
      <w:r>
        <w:t>24. Important Assumptions and Unknowns</w:t>
      </w:r>
    </w:p>
    <w:p>
      <w:pPr>
        <w:pStyle w:val="ListBullet"/>
      </w:pPr>
      <w:r>
        <w:t>Public OIL documents reveal the existence and broad role of systems such as TIEMCHART, SAP and DRIVE, but do not provide OIL's private APIs, database schemas or current internal integration architecture.</w:t>
      </w:r>
    </w:p>
    <w:p>
      <w:pPr>
        <w:pStyle w:val="ListBullet"/>
      </w:pPr>
      <w:r>
        <w:t>The SIH team should not claim direct integration with TIEMCHART/SAP unless an actual interface or sponsor-provided integration specification is available.</w:t>
      </w:r>
    </w:p>
    <w:p>
      <w:pPr>
        <w:pStyle w:val="ListBullet"/>
      </w:pPr>
      <w:r>
        <w:t>Current project-reporting workflows may differ by project, department, EPC/EPCM arrangement and contract.</w:t>
      </w:r>
    </w:p>
    <w:p>
      <w:pPr>
        <w:pStyle w:val="ListBullet"/>
      </w:pPr>
      <w:r>
        <w:t>AI-generated progress should be treated as a recommendation/assistive signal and should retain human verification for consequential updates.</w:t>
      </w:r>
    </w:p>
    <w:p>
      <w:pPr>
        <w:pStyle w:val="ListBullet"/>
      </w:pPr>
      <w:r>
        <w:t>Remote sites may require offline-first capture and later synchronization.</w:t>
      </w:r>
    </w:p>
    <w:p>
      <w:pPr>
        <w:pStyle w:val="ListBullet"/>
      </w:pPr>
      <w:r>
        <w:t>Different infrastructure types require different progress measurement rules.</w:t>
      </w:r>
    </w:p>
    <w:p>
      <w:pPr>
        <w:pStyle w:val="Heading1"/>
      </w:pPr>
      <w:r>
        <w:t>25. What the SIH Team Should Research Next</w:t>
      </w:r>
    </w:p>
    <w:p>
      <w:pPr>
        <w:pStyle w:val="ListNumber"/>
      </w:pPr>
      <w:r>
        <w:t>Obtain/construct one realistic OIL project WBS and schedule from publicly available tender/project documents.</w:t>
      </w:r>
    </w:p>
    <w:p>
      <w:pPr>
        <w:pStyle w:val="ListNumber"/>
      </w:pPr>
      <w:r>
        <w:t>Identify the exact progress measurement method for each activity: quantity, milestone, weighted activity, physical percentage, etc.</w:t>
      </w:r>
    </w:p>
    <w:p>
      <w:pPr>
        <w:pStyle w:val="ListNumber"/>
      </w:pPr>
      <w:r>
        <w:t>Map how contractor/field evidence is currently submitted and approved.</w:t>
      </w:r>
    </w:p>
    <w:p>
      <w:pPr>
        <w:pStyle w:val="ListNumber"/>
      </w:pPr>
      <w:r>
        <w:t>Identify which information is already available in TIEMCHART/SAP and what is missing at the field level.</w:t>
      </w:r>
    </w:p>
    <w:p>
      <w:pPr>
        <w:pStyle w:val="ListNumber"/>
      </w:pPr>
      <w:r>
        <w:t>Design the canonical project/activity/evidence data model.</w:t>
      </w:r>
    </w:p>
    <w:p>
      <w:pPr>
        <w:pStyle w:val="ListNumber"/>
      </w:pPr>
      <w:r>
        <w:t>Define the schedule-linking algorithm before choosing AI models.</w:t>
      </w:r>
    </w:p>
    <w:p>
      <w:pPr>
        <w:pStyle w:val="ListNumber"/>
      </w:pPr>
      <w:r>
        <w:t>Choose one highly measurable demo project such as pipeline rehabilitation or a gas gathering station.</w:t>
      </w:r>
    </w:p>
    <w:p>
      <w:pPr>
        <w:pStyle w:val="ListNumber"/>
      </w:pPr>
      <w:r>
        <w:t>Build an offline-capable field capture workflow.</w:t>
      </w:r>
    </w:p>
    <w:p>
      <w:pPr>
        <w:pStyle w:val="ListNumber"/>
      </w:pPr>
      <w:r>
        <w:t>Build the schedule reconciliation engine.</w:t>
      </w:r>
    </w:p>
    <w:p>
      <w:pPr>
        <w:pStyle w:val="ListNumber"/>
      </w:pPr>
      <w:r>
        <w:t>Add explainable delay/dependency alerts.</w:t>
      </w:r>
    </w:p>
    <w:p>
      <w:pPr>
        <w:pStyle w:val="ListNumber"/>
      </w:pPr>
      <w:r>
        <w:t>Only then add advanced AI such as OCR, NLP, computer vision or forecasting.</w:t>
      </w:r>
    </w:p>
    <w:p>
      <w:pPr>
        <w:pStyle w:val="Heading1"/>
      </w:pPr>
      <w:r>
        <w:t>26. The OIL Mental Model for the Team</w:t>
      </w:r>
    </w:p>
    <w:p>
      <w:r>
        <w:t>The following statement should be the team's shared understanding before solution design:</w:t>
      </w:r>
    </w:p>
    <w:p>
      <w:r>
        <w:rPr>
          <w:b/>
        </w:rPr>
        <w:t>OIL is a large, geographically distributed, integrated energy PSU executing many concurrent projects across exploration, drilling, production, pipelines, storage, gas processing, refining/downstream and newer energy infrastructure. OIL already has enterprise/project-management and digital systems. The SIH opportunity is therefore not to replace project management, but to create a reliable intelligence layer that continuously converts real-world execution evidence into schedule-linked actual progress, detects dependency-driven delay and provides trustworthy information back to project and management systems.</w:t>
      </w:r>
    </w:p>
    <w:p>
      <w:pPr>
        <w:pStyle w:val="Heading1"/>
      </w:pPr>
      <w:r>
        <w:t>27. Primary Sources Used</w:t>
      </w:r>
    </w:p>
    <w:p>
      <w:pPr>
        <w:pStyle w:val="ListBullet"/>
      </w:pPr>
      <w:r>
        <w:rPr>
          <w:b/>
        </w:rPr>
        <w:t xml:space="preserve">OIL — Profile: </w:t>
      </w:r>
      <w:r>
        <w:t>https://www.oil-india.com/Profile</w:t>
      </w:r>
    </w:p>
    <w:p>
      <w:pPr>
        <w:pStyle w:val="ListBullet"/>
      </w:pPr>
      <w:r>
        <w:rPr>
          <w:b/>
        </w:rPr>
        <w:t xml:space="preserve">OIL — Financial Results / Annual Reports: </w:t>
      </w:r>
      <w:r>
        <w:t>https://www.oil-india.com/financial-results</w:t>
      </w:r>
    </w:p>
    <w:p>
      <w:pPr>
        <w:pStyle w:val="ListBullet"/>
      </w:pPr>
      <w:r>
        <w:rPr>
          <w:b/>
        </w:rPr>
        <w:t xml:space="preserve">OIL — Digitalization / Project DRIVE: </w:t>
      </w:r>
      <w:r>
        <w:t>https://www.oil-india.com/index.php/digitalfootprint</w:t>
      </w:r>
    </w:p>
    <w:p>
      <w:pPr>
        <w:pStyle w:val="ListBullet"/>
      </w:pPr>
      <w:r>
        <w:rPr>
          <w:b/>
        </w:rPr>
        <w:t xml:space="preserve">OIL — Upstream: </w:t>
      </w:r>
      <w:r>
        <w:t>https://www.oil-india.com/index.php/integrated-energy-company/upstream</w:t>
      </w:r>
    </w:p>
    <w:p>
      <w:pPr>
        <w:pStyle w:val="ListBullet"/>
      </w:pPr>
      <w:r>
        <w:rPr>
          <w:b/>
        </w:rPr>
        <w:t xml:space="preserve">OIL — Midstream: </w:t>
      </w:r>
      <w:r>
        <w:t>https://www.oil-india.com/integrated-energy-company/midstream</w:t>
      </w:r>
    </w:p>
    <w:p>
      <w:pPr>
        <w:pStyle w:val="ListBullet"/>
      </w:pPr>
      <w:r>
        <w:rPr>
          <w:b/>
        </w:rPr>
        <w:t xml:space="preserve">OIL — Downstream: </w:t>
      </w:r>
      <w:r>
        <w:t>https://www.oil-india.com/index.php/integrated-energy-company/downstream</w:t>
      </w:r>
    </w:p>
    <w:p>
      <w:pPr>
        <w:pStyle w:val="ListBullet"/>
      </w:pPr>
      <w:r>
        <w:rPr>
          <w:b/>
        </w:rPr>
        <w:t xml:space="preserve">OIL — OIL at a Glance: </w:t>
      </w:r>
      <w:r>
        <w:t>https://www.oil-india.com/oil-glance</w:t>
      </w:r>
    </w:p>
    <w:p>
      <w:pPr>
        <w:pStyle w:val="ListBullet"/>
      </w:pPr>
      <w:r>
        <w:rPr>
          <w:b/>
        </w:rPr>
        <w:t xml:space="preserve">OIL — Maharatna Press Release: </w:t>
      </w:r>
      <w:r>
        <w:t>https://www.oil-india.com/files/press_release_document/Press_releaseOILgrantedMaharatnaStatusnew.pdf</w:t>
      </w:r>
    </w:p>
    <w:p>
      <w:pPr>
        <w:pStyle w:val="ListBullet"/>
      </w:pPr>
      <w:r>
        <w:rPr>
          <w:b/>
        </w:rPr>
        <w:t xml:space="preserve">OIL — Group Gathering Station tender / TIEMCHART requirement: </w:t>
      </w:r>
      <w:r>
        <w:t>https://www.oil-india.com/files/oldtender/global/Corr4_CPG3774P17.pdf</w:t>
      </w:r>
    </w:p>
    <w:p>
      <w:pPr>
        <w:pStyle w:val="ListBullet"/>
      </w:pPr>
      <w:r>
        <w:rPr>
          <w:b/>
        </w:rPr>
        <w:t xml:space="preserve">OIL — Project/EPCM tender with TIEMCHART and project reporting requirements: </w:t>
      </w:r>
      <w:r>
        <w:t>https://www.oil-india.com/files/oldtender/national/Doc_CPI6020P18.pdf</w:t>
      </w:r>
    </w:p>
    <w:p>
      <w:pPr>
        <w:pStyle w:val="ListBullet"/>
      </w:pPr>
      <w:r>
        <w:rPr>
          <w:b/>
        </w:rPr>
        <w:t xml:space="preserve">OIL — Project management software requirement: </w:t>
      </w:r>
      <w:r>
        <w:t>https://www.oil-india.com/files/oldtender/national/NIT_CPI5613P21.pdf</w:t>
      </w:r>
    </w:p>
    <w:p>
      <w:pPr>
        <w:pStyle w:val="ListBullet"/>
      </w:pPr>
      <w:r>
        <w:rPr>
          <w:b/>
        </w:rPr>
        <w:t xml:space="preserve">OIL — Downstream / NRL: </w:t>
      </w:r>
      <w:r>
        <w:t>https://www.oil-india.com/integrated-energy-company/downstream-home</w:t>
      </w:r>
    </w:p>
    <w:p>
      <w:pPr>
        <w:pStyle w:val="ListBullet"/>
      </w:pPr>
      <w:r>
        <w:rPr>
          <w:b/>
        </w:rPr>
        <w:t xml:space="preserve">OIL — R&amp;D: </w:t>
      </w:r>
      <w:r>
        <w:t>https://www.oil-india.com/research-and-development</w:t>
      </w:r>
    </w:p>
    <w:p>
      <w:pPr>
        <w:pStyle w:val="SmallNote"/>
      </w:pPr>
      <w:r>
        <w:rPr>
          <w:b/>
        </w:rPr>
        <w:t xml:space="preserve">Source / note: </w:t>
      </w:r>
      <w:r>
        <w:t>This document is a research/architecture-oriented synthesis based primarily on OIL's publicly available official material. It should not be treated as a substitute for sponsor-provided internal specifications.</w:t>
      </w:r>
    </w:p>
    <w:p>
      <w:r>
        <w:br w:type="page"/>
      </w:r>
    </w:p>
    <w:p>
      <w:pPr>
        <w:jc w:val="center"/>
      </w:pPr>
      <w:r>
        <w:rPr>
          <w:b/>
          <w:sz w:val="32"/>
        </w:rPr>
        <w:t>END OF RESEARCH DOCUMENT</w:t>
      </w:r>
    </w:p>
    <w:p>
      <w:pPr>
        <w:jc w:val="center"/>
      </w:pPr>
      <w:r>
        <w:t>Use this document as the shared domain baseline before finalizing the SIH solution architecture.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OIL India Limited — SIH Research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