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120"/>
      </w:pPr>
      <w:r>
        <w:rPr>
          <w:rFonts w:ascii="Arial" w:hAnsi="Arial"/>
          <w:b/>
          <w:color w:val="1E3A8A"/>
          <w:sz w:val="40"/>
        </w:rPr>
        <w:t>Product Requirements Document (PRD)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Project Name: EXT-093 FinGuard Assistant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Subtitle:</w:t>
      </w:r>
      <w:r>
        <w:rPr>
          <w:rFonts w:ascii="Arial" w:hAnsi="Arial"/>
          <w:color w:val="374151"/>
          <w:sz w:val="20"/>
        </w:rPr>
        <w:t xml:space="preserve"> Uncertainty-Aware Personal Finance Risk &amp; Goal Planning Assistant with Constrained Recourse and Explainable AI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Project Code:</w:t>
      </w:r>
      <w:r>
        <w:rPr>
          <w:rFonts w:ascii="Arial" w:hAnsi="Arial"/>
          <w:color w:val="374151"/>
          <w:sz w:val="20"/>
        </w:rPr>
        <w:t xml:space="preserve"> EXT-093 / Innotech-FinGuard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Document Version:</w:t>
      </w:r>
      <w:r>
        <w:rPr>
          <w:rFonts w:ascii="Arial" w:hAnsi="Arial"/>
          <w:color w:val="374151"/>
          <w:sz w:val="20"/>
        </w:rPr>
        <w:t xml:space="preserve"> 1.0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Target Milestone:</w:t>
      </w:r>
      <w:r>
        <w:rPr>
          <w:rFonts w:ascii="Arial" w:hAnsi="Arial"/>
          <w:color w:val="374151"/>
          <w:sz w:val="20"/>
        </w:rPr>
        <w:t xml:space="preserve"> Production MVP &amp; Core Engine Release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Status:</w:t>
      </w:r>
      <w:r>
        <w:rPr>
          <w:rFonts w:ascii="Arial" w:hAnsi="Arial"/>
          <w:color w:val="374151"/>
          <w:sz w:val="20"/>
        </w:rPr>
        <w:t xml:space="preserve"> Approved for Implementation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1. Executive Summary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EXT-093 FinGuard Assistant</w:t>
      </w:r>
      <w:r>
        <w:rPr>
          <w:rFonts w:ascii="Arial" w:hAnsi="Arial"/>
          <w:color w:val="374151"/>
          <w:sz w:val="20"/>
        </w:rPr>
        <w:t xml:space="preserve"> is a local-first, privacy-preserving personal finance risk and goal planning platform engineered to transform personal budgeting from a passive recording tool into an active, uncertainty-aware decision-support system. Traditional consumer budgeting tools (e.g., Mint, YNAB, standard banking apps) rely on deterministic assumptions: they forecast next month's net worth as a single linear projection and treat goals as static arithmetic equations (</w:t>
      </w:r>
      <w:r>
        <w:rPr>
          <w:rFonts w:ascii="Consolas" w:hAnsi="Consolas"/>
          <w:color w:val="B41E1E"/>
          <w:sz w:val="19"/>
        </w:rPr>
        <w:t>Target Amount / Months = Monthly Savings</w:t>
      </w:r>
      <w:r>
        <w:rPr>
          <w:rFonts w:ascii="Arial" w:hAnsi="Arial"/>
          <w:color w:val="374151"/>
          <w:sz w:val="20"/>
        </w:rPr>
        <w:t>).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This deterministic paradigm fails catastrophically in real-world personal finance: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Income and expenditure volatility</w:t>
      </w:r>
      <w:r>
        <w:rPr>
          <w:rFonts w:ascii="Arial" w:hAnsi="Arial"/>
          <w:color w:val="374151"/>
          <w:sz w:val="20"/>
        </w:rPr>
        <w:t xml:space="preserve"> (especially for gig-workers, freelancers, and younger professionals) produces wide probability distributions, not single-point futures.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Standard black-box ML advice</w:t>
      </w:r>
      <w:r>
        <w:rPr>
          <w:rFonts w:ascii="Arial" w:hAnsi="Arial"/>
          <w:color w:val="374151"/>
          <w:sz w:val="20"/>
        </w:rPr>
        <w:t xml:space="preserve"> offers generic, unhelpful platitudes (</w:t>
      </w:r>
      <w:r>
        <w:rPr>
          <w:rFonts w:ascii="Arial" w:hAnsi="Arial"/>
          <w:i/>
          <w:color w:val="374151"/>
          <w:sz w:val="20"/>
        </w:rPr>
        <w:t>"spend less on dining out"</w:t>
      </w:r>
      <w:r>
        <w:rPr>
          <w:rFonts w:ascii="Arial" w:hAnsi="Arial"/>
          <w:color w:val="374151"/>
          <w:sz w:val="20"/>
        </w:rPr>
        <w:t>) without quantifying feasibility, downside risk, or psychological friction.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Data privacy concerns:</w:t>
      </w:r>
      <w:r>
        <w:rPr>
          <w:rFonts w:ascii="Arial" w:hAnsi="Arial"/>
          <w:color w:val="374151"/>
          <w:sz w:val="20"/>
        </w:rPr>
        <w:t xml:space="preserve"> Centralized cloud storage of high-resolution transactional ledgers creates unacceptable breach vectors and regulatory liabilities.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 xml:space="preserve">EXT-093 solves these fundamental challenges through a </w:t>
      </w:r>
      <w:r>
        <w:rPr>
          <w:rFonts w:ascii="Arial" w:hAnsi="Arial"/>
          <w:b/>
          <w:color w:val="1F2937"/>
          <w:sz w:val="20"/>
        </w:rPr>
        <w:t>four-pillar architecture</w:t>
      </w:r>
      <w:r>
        <w:rPr>
          <w:rFonts w:ascii="Arial" w:hAnsi="Arial"/>
          <w:color w:val="374151"/>
          <w:sz w:val="20"/>
        </w:rPr>
        <w:t>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Local-First Zero-Knowledge Architecture:</w:t>
      </w:r>
      <w:r>
        <w:rPr>
          <w:rFonts w:ascii="Arial" w:hAnsi="Arial"/>
          <w:color w:val="374151"/>
          <w:sz w:val="20"/>
        </w:rPr>
        <w:t xml:space="preserve"> SQLite embedded ledger engine executing 100% on-device with zero cloud telemetry or centralized data persistence.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Conformal Quantile Regression (CQR) Cash-Flow Forecasting:</w:t>
      </w:r>
      <w:r>
        <w:rPr>
          <w:rFonts w:ascii="Arial" w:hAnsi="Arial"/>
          <w:color w:val="374151"/>
          <w:sz w:val="20"/>
        </w:rPr>
        <w:t xml:space="preserve"> Non-parametric quantile forecasting generating rigorous prediction intervals ($q_{10}, q_{50}, q_{90}$) that mathematically guarantee coverage levels under extreme distribution shifts.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Constrained Financial Recourse Optimization (CFRO):</w:t>
      </w:r>
      <w:r>
        <w:rPr>
          <w:rFonts w:ascii="Arial" w:hAnsi="Arial"/>
          <w:color w:val="374151"/>
          <w:sz w:val="20"/>
        </w:rPr>
        <w:t xml:space="preserve"> Counterfactual optimization that produces actionable, bounded adjustments across flexible budget categories while enforcing hard constraints on essential living expenses.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Explainable AI (XAI) &amp; Attributions Stability:</w:t>
      </w:r>
      <w:r>
        <w:rPr>
          <w:rFonts w:ascii="Arial" w:hAnsi="Arial"/>
          <w:color w:val="374151"/>
          <w:sz w:val="20"/>
        </w:rPr>
        <w:t xml:space="preserve"> Exact TreeSHAP feature importance paired with local perturbation testing (Kendall's $\tau$ correlation) ensuring recommendations remain consistent under everyday transactional noise.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2. Problem Statement &amp; User Pain Points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2.1 The Pitfalls of Deterministic Financial Tools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False Precision and the Mirage of Certainty:</w:t>
      </w:r>
      <w:r>
        <w:rPr>
          <w:rFonts w:ascii="Arial" w:hAnsi="Arial"/>
          <w:color w:val="374151"/>
          <w:sz w:val="20"/>
        </w:rPr>
        <w:t xml:space="preserve"> Linear forecasting ignores tail-risk events (sudden car repairs, medical copays, seasonal utility spikes). When a single adverse shock occurs, deterministic plans collapse, leaving users demotivated.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The "Black-Box" Advice Trap:</w:t>
      </w:r>
      <w:r>
        <w:rPr>
          <w:rFonts w:ascii="Arial" w:hAnsi="Arial"/>
          <w:color w:val="374151"/>
          <w:sz w:val="20"/>
        </w:rPr>
        <w:t xml:space="preserve"> Existing robo-advisors fail to explain why a user's risk score was downgraded or which specific category overspend triggered an insolvency warning.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Friction-Blind Recommendations:</w:t>
      </w:r>
      <w:r>
        <w:rPr>
          <w:rFonts w:ascii="Arial" w:hAnsi="Arial"/>
          <w:color w:val="374151"/>
          <w:sz w:val="20"/>
        </w:rPr>
        <w:t xml:space="preserve"> Generic budgeting engines propose unrealistic lifestyle cuts (e.g., cutting grocery spending by 60%) that violate user tolerance and result in rapid attrition.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Surveillance Capitalism in Consumer Fintech:</w:t>
      </w:r>
      <w:r>
        <w:rPr>
          <w:rFonts w:ascii="Arial" w:hAnsi="Arial"/>
          <w:color w:val="374151"/>
          <w:sz w:val="20"/>
        </w:rPr>
        <w:t xml:space="preserve"> Cloud-based apps monetize user financial data through targeted loan advertising, behavioral profiling, and third-party data broker syndication.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3. Product Vision &amp; Target Personas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EXT-093 is built to serve users across the spectrum of income predictability and liquidity depth: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Persona Profile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Primary Pain Points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EXT-093 Target Workflow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Key Target Metric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Persona A: Salaried Professional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Lifestyle inflation, complex multi-goal trade-offs (home down payment vs. vacation), high discretionary leakage.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CFRO recourse profiles optimizing savings allocation across competing goals with minimal sacrifice.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$&gt;85\%$ Probabilistic Goal Attainment within target month.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Persona B: Volatile Freelancer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Irregular lump-sum contract payouts, seasonal dry spells, unpredictable cash-flow deficits.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CQR 90-day lower-bound ($q_{10}$) cash-flow forecast with early liquidity shortfall warning triggers.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Zero unexpected overdrafts; $&gt;45$ days of projected runway.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Persona C: Student (Paycheck-to-Paycheck)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Low reserve capital, high sensitivity to minor expense spikes, high cognitive stress.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Solvency Stress Engine with ECE-calibrated risk alerts and immediate discretionary spending caps.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Real-time Runway Days countdown; high-confidence categorization.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4. Key Functional Requirements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4.1 Local Data Ingestion &amp; Synthesis Engine (`SimFinEngine`)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FR-1.1:</w:t>
      </w:r>
      <w:r>
        <w:rPr>
          <w:rFonts w:ascii="Arial" w:hAnsi="Arial"/>
          <w:color w:val="374151"/>
          <w:sz w:val="20"/>
        </w:rPr>
        <w:t xml:space="preserve"> Support zero-cloud ingestion of structured CSV/JSON bank statements into a normalized local SQLite schema (</w:t>
      </w:r>
      <w:r>
        <w:rPr>
          <w:rFonts w:ascii="Consolas" w:hAnsi="Consolas"/>
          <w:color w:val="B41E1E"/>
          <w:sz w:val="19"/>
        </w:rPr>
        <w:t>accounts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transactions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categories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goals</w:t>
      </w:r>
      <w:r>
        <w:rPr>
          <w:rFonts w:ascii="Arial" w:hAnsi="Arial"/>
          <w:color w:val="374151"/>
          <w:sz w:val="20"/>
        </w:rPr>
        <w:t xml:space="preserve">, </w:t>
      </w:r>
      <w:r>
        <w:rPr>
          <w:rFonts w:ascii="Consolas" w:hAnsi="Consolas"/>
          <w:color w:val="B41E1E"/>
          <w:sz w:val="19"/>
        </w:rPr>
        <w:t>budget_rules</w:t>
      </w:r>
      <w:r>
        <w:rPr>
          <w:rFonts w:ascii="Arial" w:hAnsi="Arial"/>
          <w:color w:val="374151"/>
          <w:sz w:val="20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FR-1.2:</w:t>
      </w:r>
      <w:r>
        <w:rPr>
          <w:rFonts w:ascii="Arial" w:hAnsi="Arial"/>
          <w:color w:val="374151"/>
          <w:sz w:val="20"/>
        </w:rPr>
        <w:t xml:space="preserve"> Synthetic transaction generator (</w:t>
      </w:r>
      <w:r>
        <w:rPr>
          <w:rFonts w:ascii="Consolas" w:hAnsi="Consolas"/>
          <w:color w:val="B41E1E"/>
          <w:sz w:val="19"/>
        </w:rPr>
        <w:t>SimFinEngine</w:t>
      </w:r>
      <w:r>
        <w:rPr>
          <w:rFonts w:ascii="Arial" w:hAnsi="Arial"/>
          <w:color w:val="374151"/>
          <w:sz w:val="20"/>
        </w:rPr>
        <w:t>) providing 12 months of daily transaction histories ($1,500+$ transactions) parameterized for the 3 target personas.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FR-1.3:</w:t>
      </w:r>
      <w:r>
        <w:rPr>
          <w:rFonts w:ascii="Arial" w:hAnsi="Arial"/>
          <w:color w:val="374151"/>
          <w:sz w:val="20"/>
        </w:rPr>
        <w:t xml:space="preserve"> Recurring bill and payroll detection algorithm capable of identifying cadence, median variance, and next expected execution date.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4.2 Tiered Transaction Categorization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FR-2.1:</w:t>
      </w:r>
      <w:r>
        <w:rPr>
          <w:rFonts w:ascii="Arial" w:hAnsi="Arial"/>
          <w:color w:val="374151"/>
          <w:sz w:val="20"/>
        </w:rPr>
        <w:t xml:space="preserve"> Tier 1 deterministic rule-based regex engine for instant sub-millisecond assignment of common merchant patterns.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FR-2.2:</w:t>
      </w:r>
      <w:r>
        <w:rPr>
          <w:rFonts w:ascii="Arial" w:hAnsi="Arial"/>
          <w:color w:val="374151"/>
          <w:sz w:val="20"/>
        </w:rPr>
        <w:t xml:space="preserve"> Tier 2 machine-learning classifier (TF-IDF + Platt-calibrated SGD/Logistic Regression) assigning transactions to 8 standard categories with calibrated confidence scores.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FR-2.3:</w:t>
      </w:r>
      <w:r>
        <w:rPr>
          <w:rFonts w:ascii="Arial" w:hAnsi="Arial"/>
          <w:color w:val="374151"/>
          <w:sz w:val="20"/>
        </w:rPr>
        <w:t xml:space="preserve"> User-in-the-loop override modal allowing instantaneous 1-click category reclassification that updates local training buffers.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4.3 Quantile Cash-Flow Forecaster (CQR)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FR-3.1:</w:t>
      </w:r>
      <w:r>
        <w:rPr>
          <w:rFonts w:ascii="Arial" w:hAnsi="Arial"/>
          <w:color w:val="374151"/>
          <w:sz w:val="20"/>
        </w:rPr>
        <w:t xml:space="preserve"> Multi-horizon forecast generation (30, 60, and 90 days) producing 10th percentile (worst-case), 50th percentile (median), and 90th percentile (optimistic) daily balance paths.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FR-3.2:</w:t>
      </w:r>
      <w:r>
        <w:rPr>
          <w:rFonts w:ascii="Arial" w:hAnsi="Arial"/>
          <w:color w:val="374151"/>
          <w:sz w:val="20"/>
        </w:rPr>
        <w:t xml:space="preserve"> Conformal calibration guaranteeing 80% empirical prediction interval coverage over holdout test splits.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FR-3.3:</w:t>
      </w:r>
      <w:r>
        <w:rPr>
          <w:rFonts w:ascii="Arial" w:hAnsi="Arial"/>
          <w:color w:val="374151"/>
          <w:sz w:val="20"/>
        </w:rPr>
        <w:t xml:space="preserve"> Real-time liquidity shortfall detection flagging any date where $q_{10} \le 0$ as a critical cash-flow hazard.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4.4 Solvency Stress &amp; Risk Classifier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FR-4.1:</w:t>
      </w:r>
      <w:r>
        <w:rPr>
          <w:rFonts w:ascii="Arial" w:hAnsi="Arial"/>
          <w:color w:val="374151"/>
          <w:sz w:val="20"/>
        </w:rPr>
        <w:t xml:space="preserve"> Continuous computation of composite Solvency Score ($0 - 100$), Net Runway Days, and Risk Tier (Low, Moderate, Critical).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FR-4.2:</w:t>
      </w:r>
      <w:r>
        <w:rPr>
          <w:rFonts w:ascii="Arial" w:hAnsi="Arial"/>
          <w:color w:val="374151"/>
          <w:sz w:val="20"/>
        </w:rPr>
        <w:t xml:space="preserve"> ECE (Expected Calibration Error) optimization ensuring predicted probabilities match true default/insolvency frequencies within $\pm 4\%$.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FR-4.3:</w:t>
      </w:r>
      <w:r>
        <w:rPr>
          <w:rFonts w:ascii="Arial" w:hAnsi="Arial"/>
          <w:color w:val="374151"/>
          <w:sz w:val="20"/>
        </w:rPr>
        <w:t xml:space="preserve"> Selective abstention fallback when epistemic uncertainty is excessive, prompting the user for manual validation instead of providing false guidance.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4.5 Constrained Financial Recourse Optimizer (CFRO)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FR-5.1:</w:t>
      </w:r>
      <w:r>
        <w:rPr>
          <w:rFonts w:ascii="Arial" w:hAnsi="Arial"/>
          <w:color w:val="374151"/>
          <w:sz w:val="20"/>
        </w:rPr>
        <w:t xml:space="preserve"> Formulation of user financial goals (e.g., $5,000 Emergency Fund in 6 months) as a constrained optimization problem.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FR-5.2:</w:t>
      </w:r>
      <w:r>
        <w:rPr>
          <w:rFonts w:ascii="Arial" w:hAnsi="Arial"/>
          <w:color w:val="374151"/>
          <w:sz w:val="20"/>
        </w:rPr>
        <w:t xml:space="preserve"> Generation of 3 distinct, actionable recourse profiles: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i/>
          <w:color w:val="374151"/>
          <w:sz w:val="20"/>
        </w:rPr>
        <w:t>Profile A (Balanced):</w:t>
      </w:r>
      <w:r>
        <w:rPr>
          <w:rFonts w:ascii="Arial" w:hAnsi="Arial"/>
          <w:color w:val="374151"/>
          <w:sz w:val="20"/>
        </w:rPr>
        <w:t xml:space="preserve"> Uniform low-friction cuts across flexible discretionary categories.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i/>
          <w:color w:val="374151"/>
          <w:sz w:val="20"/>
        </w:rPr>
        <w:t>Profile B (Aggressive Cut):</w:t>
      </w:r>
      <w:r>
        <w:rPr>
          <w:rFonts w:ascii="Arial" w:hAnsi="Arial"/>
          <w:color w:val="374151"/>
          <w:sz w:val="20"/>
        </w:rPr>
        <w:t xml:space="preserve"> Maximum savings rate prioritizing fastest goal achievement.</w:t>
      </w:r>
    </w:p>
    <w:p>
      <w:pPr>
        <w:pStyle w:val="ListBullet"/>
        <w:spacing w:before="20" w:after="40"/>
        <w:ind w:left="720"/>
      </w:pPr>
      <w:r>
        <w:rPr>
          <w:rFonts w:ascii="Arial" w:hAnsi="Arial"/>
          <w:i/>
          <w:color w:val="374151"/>
          <w:sz w:val="20"/>
        </w:rPr>
        <w:t>Profile C (Horizon Extension):</w:t>
      </w:r>
      <w:r>
        <w:rPr>
          <w:rFonts w:ascii="Arial" w:hAnsi="Arial"/>
          <w:color w:val="374151"/>
          <w:sz w:val="20"/>
        </w:rPr>
        <w:t xml:space="preserve"> Preservation of current monthly budget with target date deferral.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FR-5.3:</w:t>
      </w:r>
      <w:r>
        <w:rPr>
          <w:rFonts w:ascii="Arial" w:hAnsi="Arial"/>
          <w:color w:val="374151"/>
          <w:sz w:val="20"/>
        </w:rPr>
        <w:t xml:space="preserve"> Hard boundary enforcement: strict non-reduction of fixed essentials (rent, utilities, insurance, loan minimums).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4.6 Explainability (XAI) &amp; Perturbation Stability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FR-6.1:</w:t>
      </w:r>
      <w:r>
        <w:rPr>
          <w:rFonts w:ascii="Arial" w:hAnsi="Arial"/>
          <w:color w:val="374151"/>
          <w:sz w:val="20"/>
        </w:rPr>
        <w:t xml:space="preserve"> Exact TreeSHAP feature attribution calculating the precise numerical contribution of each financial metric to the user's Solvency Score.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FR-6.2:</w:t>
      </w:r>
      <w:r>
        <w:rPr>
          <w:rFonts w:ascii="Arial" w:hAnsi="Arial"/>
          <w:color w:val="374151"/>
          <w:sz w:val="20"/>
        </w:rPr>
        <w:t xml:space="preserve"> Stability verification module subjecting the input vector to $5\% - 10\%$ synthetic Gaussian perturbation and reporting Kendall's $\tau$ rank correlation ($&gt;0.85$ required).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5. Non-Functional Requirements &amp; System Constraints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Verification Mechanism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Latency (API Response)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$p_{95} \le 35\text{ ms}$ for ledger/summary queries; $p_{95} \le 120\text{ ms}$ for CQR &amp; CFRO simulation.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Automated endpoint benchmark (</w:t>
            </w:r>
            <w:r>
              <w:rPr>
                <w:rFonts w:ascii="Consolas" w:hAnsi="Consolas"/>
                <w:color w:val="B41E1E"/>
                <w:sz w:val="19"/>
              </w:rPr>
              <w:t>test_api.py</w:t>
            </w:r>
            <w:r>
              <w:rPr>
                <w:rFonts w:ascii="Arial" w:hAnsi="Arial"/>
                <w:color w:val="374151"/>
                <w:sz w:val="20"/>
              </w:rPr>
              <w:t>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Privacy &amp; Security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Zero external network calls for financial data processing. SQLite stored locally on disk.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Network packet inspection during test runs.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Platform Footprint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Local server memory usage $\le 120\text{ MB}$; storage footprint $\le 25\text{ MB}$ (excluding local model cache).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System process monitor (</w:t>
            </w:r>
            <w:r>
              <w:rPr>
                <w:rFonts w:ascii="Consolas" w:hAnsi="Consolas"/>
                <w:color w:val="B41E1E"/>
                <w:sz w:val="19"/>
              </w:rPr>
              <w:t>psutil</w:t>
            </w:r>
            <w:r>
              <w:rPr>
                <w:rFonts w:ascii="Arial" w:hAnsi="Arial"/>
                <w:color w:val="374151"/>
                <w:sz w:val="20"/>
              </w:rPr>
              <w:t>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F2937"/>
                <w:sz w:val="20"/>
              </w:rPr>
              <w:t>Browser Compatibility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Chrome, Edge, Firefox, Safari (desktop and mobile responsive viewport).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Multi-viewport DOM verification.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6. Success Metrics &amp; Key Performance Indicators (KPIs)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Forecast Reliability:</w:t>
      </w:r>
      <w:r>
        <w:rPr>
          <w:rFonts w:ascii="Arial" w:hAnsi="Arial"/>
          <w:color w:val="374151"/>
          <w:sz w:val="20"/>
        </w:rPr>
        <w:t xml:space="preserve"> Conformal coverage $\ge 78\%$ on holdout testing windows across all 3 persona datasets.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Actionable Recourse Quality:</w:t>
      </w:r>
      <w:r>
        <w:rPr>
          <w:rFonts w:ascii="Arial" w:hAnsi="Arial"/>
          <w:color w:val="374151"/>
          <w:sz w:val="20"/>
        </w:rPr>
        <w:t xml:space="preserve"> $100\%$ of generated recourse profiles respect immutable essential expense constraints.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Explanation Stability:</w:t>
      </w:r>
      <w:r>
        <w:rPr>
          <w:rFonts w:ascii="Arial" w:hAnsi="Arial"/>
          <w:color w:val="374151"/>
          <w:sz w:val="20"/>
        </w:rPr>
        <w:t xml:space="preserve"> Kendall's $\tau \ge 0.85$ and Top-3 Feature Jaccard Similarity $\ge 0.75$ under $5\%$ noise.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User Efficiency:</w:t>
      </w:r>
      <w:r>
        <w:rPr>
          <w:rFonts w:ascii="Arial" w:hAnsi="Arial"/>
          <w:color w:val="374151"/>
          <w:sz w:val="20"/>
        </w:rPr>
        <w:t xml:space="preserve"> Sub-2-second end-to-end evaluation for any new goal or "what-if" scenario adjustment.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