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0" w:after="120"/>
      </w:pPr>
      <w:r>
        <w:rPr>
          <w:rFonts w:ascii="Arial" w:hAnsi="Arial"/>
          <w:b/>
          <w:color w:val="1E3A8A"/>
          <w:sz w:val="40"/>
        </w:rPr>
        <w:t>Technical Architecture Document</w:t>
      </w: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Project Name: EXT-093 FinGuard Assistant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Subtitle:</w:t>
      </w:r>
      <w:r>
        <w:rPr>
          <w:rFonts w:ascii="Arial" w:hAnsi="Arial"/>
          <w:color w:val="374151"/>
          <w:sz w:val="20"/>
        </w:rPr>
        <w:t xml:space="preserve"> End-to-End System Design, Algorithmic Engines, and Mathematical Formulations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Project Code:</w:t>
      </w:r>
      <w:r>
        <w:rPr>
          <w:rFonts w:ascii="Arial" w:hAnsi="Arial"/>
          <w:color w:val="374151"/>
          <w:sz w:val="20"/>
        </w:rPr>
        <w:t xml:space="preserve"> EXT-093 / Innotech-FinGuard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Document Version:</w:t>
      </w:r>
      <w:r>
        <w:rPr>
          <w:rFonts w:ascii="Arial" w:hAnsi="Arial"/>
          <w:color w:val="374151"/>
          <w:sz w:val="20"/>
        </w:rPr>
        <w:t xml:space="preserve"> 1.0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Target Milestone:</w:t>
      </w:r>
      <w:r>
        <w:rPr>
          <w:rFonts w:ascii="Arial" w:hAnsi="Arial"/>
          <w:color w:val="374151"/>
          <w:sz w:val="20"/>
        </w:rPr>
        <w:t xml:space="preserve"> Production MVP &amp; Core Engine Release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Status:</w:t>
      </w:r>
      <w:r>
        <w:rPr>
          <w:rFonts w:ascii="Arial" w:hAnsi="Arial"/>
          <w:color w:val="374151"/>
          <w:sz w:val="20"/>
        </w:rPr>
        <w:t xml:space="preserve"> Approved for Implementation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1. Architectural Principles &amp; High-Level Topology</w:t>
      </w:r>
    </w:p>
    <w:p>
      <w:pPr>
        <w:spacing w:before="40" w:after="80" w:line="276" w:lineRule="auto"/>
      </w:pPr>
      <w:r>
        <w:rPr>
          <w:rFonts w:ascii="Arial" w:hAnsi="Arial"/>
          <w:b/>
          <w:color w:val="1F2937"/>
          <w:sz w:val="20"/>
        </w:rPr>
        <w:t>EXT-093 FinGuard Assistant</w:t>
      </w:r>
      <w:r>
        <w:rPr>
          <w:rFonts w:ascii="Arial" w:hAnsi="Arial"/>
          <w:color w:val="374151"/>
          <w:sz w:val="20"/>
        </w:rPr>
        <w:t xml:space="preserve"> is engineered as a </w:t>
      </w:r>
      <w:r>
        <w:rPr>
          <w:rFonts w:ascii="Arial" w:hAnsi="Arial"/>
          <w:b/>
          <w:color w:val="1F2937"/>
          <w:sz w:val="20"/>
        </w:rPr>
        <w:t>Local-First, Zero-Knowledge Intelligence System</w:t>
      </w:r>
      <w:r>
        <w:rPr>
          <w:rFonts w:ascii="Arial" w:hAnsi="Arial"/>
          <w:color w:val="374151"/>
          <w:sz w:val="20"/>
        </w:rPr>
        <w:t>. Unlike standard consumer financial applications that offload sensitive bank transactions to multi-tenant cloud databases, EXT-093 executes the entire machine learning inference, mathematical optimization, and transactional ledger pipeline on the user's host machine.</w:t>
      </w:r>
    </w:p>
    <w:p>
      <w:pPr>
        <w:spacing w:before="120" w:after="120"/>
        <w:ind w:left="288" w:right="288"/>
        <w:shd w:fill="F1F5F9"/>
      </w:pPr>
      <w:r>
        <w:rPr>
          <w:rFonts w:ascii="Consolas" w:hAnsi="Consolas"/>
          <w:color w:val="1E293B"/>
          <w:sz w:val="18"/>
        </w:rPr>
        <w:t>+-----------------------------------------------------------------------------------+</w:t>
        <w:br/>
        <w:t>|                           EXT-093 SYSTEM TOPOLOGY                                 |</w:t>
        <w:br/>
        <w:t>+-----------------------------------------------------------------------------------+</w:t>
        <w:br/>
        <w:t>|  [ Client Layer: Modern Glassmorphic Web UI ]                                     |</w:t>
        <w:br/>
        <w:t>|  - Vanilla HTML5 / CSS3 Tokens / ES6 Modules / Chart.js Canvas                    |</w:t>
        <w:br/>
        <w:t>|  - Real-Time Uncertainty Fan Charts / Dynamic What-If Recourse Sliders            |</w:t>
        <w:br/>
        <w:t>+------------------------------------------^----------------------------------------+</w:t>
        <w:br/>
        <w:t xml:space="preserve">                                           | HTTP REST / JSON (Localhost 127.0.0.1:8000)</w:t>
        <w:br/>
        <w:t>+------------------------------------------v----------------------------------------+</w:t>
        <w:br/>
        <w:t>|  [ Application Layer: FastAPI Async Micro-Framework ]                             |</w:t>
        <w:br/>
        <w:t>|  - Pydantic Validation / Static File Serving / CORS Local Whitelist              |</w:t>
        <w:br/>
        <w:t>|  - Dependency Injection / Database Session Pooling                                |</w:t>
        <w:br/>
        <w:t>+-----------------------+----------------------------------+------------------------+</w:t>
        <w:br/>
        <w:t xml:space="preserve">                        |                                  |</w:t>
        <w:br/>
        <w:t>+-----------------------v----------------+  +--------------v------------------------+</w:t>
        <w:br/>
        <w:t>|  [ Core Intelligence Engines (ML/XAI) ]|  |  [ Persistence Layer: Local SQLite ]  |</w:t>
        <w:br/>
        <w:t>|  - SimFinEngine Synthetic Benchmark    |  |  - SQLite 3 with Foreign Key Cascades  |</w:t>
        <w:br/>
        <w:t>|  - Tiered Categorizer (Platt Calib)    |  |  - Accounts, Transactions, Categories |</w:t>
        <w:br/>
        <w:t>|  - CQR Quantile Cash-Flow Forecaster   |  |  - Goals, BudgetRules, AuditLogs       |</w:t>
        <w:br/>
        <w:t>|  - Solvency Stress &amp; ECE Classifier   |  +---------------------------------------+</w:t>
        <w:br/>
        <w:t>|  - CFRO Constrained Recourse Optimizer |</w:t>
        <w:br/>
        <w:t>|  - TreeSHAP &amp; Stability Engine (Noise) |</w:t>
        <w:br/>
        <w:t>+----------------------------------------+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2. Core Algorithmic &amp; Mathematical Specifications</w:t>
      </w: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2.1 Conformal Quantile Regression (CQR) Cash-Flow Forecaster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 xml:space="preserve">To quantify cash-flow uncertainty without making unrealistic Gaussian assumptions, the forecaster implements </w:t>
      </w:r>
      <w:r>
        <w:rPr>
          <w:rFonts w:ascii="Arial" w:hAnsi="Arial"/>
          <w:b/>
          <w:color w:val="1F2937"/>
          <w:sz w:val="20"/>
        </w:rPr>
        <w:t>Conformal Quantile Regression</w:t>
      </w:r>
      <w:r>
        <w:rPr>
          <w:rFonts w:ascii="Arial" w:hAnsi="Arial"/>
          <w:color w:val="374151"/>
          <w:sz w:val="20"/>
        </w:rPr>
        <w:t>. Given historical daily net balance changes $y_t$ and feature vector $x_t$ (calendar cycle, recurring paydays, rolling variance), the engine estimates three pinball loss quantiles: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$$\mathcal{L}_{\alpha}(y, \hat{y}) = \max(\alpha(y - \hat{y}), (1 - \alpha)(\hat{y} - y))$$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For quantiles $\alpha \in \{0.10, 0.50, 0.90\}$: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Model Backbone:</w:t>
      </w:r>
      <w:r>
        <w:rPr>
          <w:rFonts w:ascii="Arial" w:hAnsi="Arial"/>
          <w:color w:val="374151"/>
          <w:sz w:val="20"/>
        </w:rPr>
        <w:t xml:space="preserve"> Quantile Gradient Boosted Trees producing point forecasts $[\hat{q}_{0.10}(x), \hat{q}_{0.50}(x), \hat{q}_{0.90}(x)]$.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Conformal Nonconformity Score:</w:t>
      </w:r>
      <w:r>
        <w:rPr>
          <w:rFonts w:ascii="Arial" w:hAnsi="Arial"/>
          <w:color w:val="374151"/>
          <w:sz w:val="20"/>
        </w:rPr>
        <w:t xml:space="preserve"> Computed on a calibration set $(x_i, y_i) \in \mathcal{D}_{\text{calib}}$: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$$E_i = \max(\hat{q}_{0.10}(x_i) - y_i,\; y_i - \hat{q}_{0.90}(x_i))$$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Calibrated Prediction Interval:</w:t>
      </w:r>
      <w:r>
        <w:rPr>
          <w:rFonts w:ascii="Arial" w:hAnsi="Arial"/>
          <w:color w:val="374151"/>
          <w:sz w:val="20"/>
        </w:rPr>
        <w:t xml:space="preserve"> With target coverage $1 - \epsilon = 0.80$: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$$Q = \text{Quantile}\left(1 - \epsilon;\, \{E_i\}\right)$$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$$\mathcal{C}(x_{\text{test}}) = \left[ \hat{q}_{0.10}(x_{\text{test}}) - Q,\; \hat{q}_{0.90}(x_{\text{test}}) + Q \right]$$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This mathematical guarantee ensures that the true future cash trajectory falls within the generated prediction fan with $\ge 80\%$ empirical confidence.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2.2 Constrained Financial Recourse Optimization (CFRO)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When a user sets a target goal $G$ (target amount $A$, horizon $T$ months) and current monthly savings $S_{\text{current}} &lt; A / T$, the engine computes the optimal counterfactual spending adjustment vector $\mathbf{\delta}^* \in \mathbb{R}^K$ across $K$ discretionary categories.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$$\min_{\mathbf{\delta}} \; \sum_{k=1}^K w_k \cdot \phi_k(\delta_k) + \lambda \cdot \|\mathbf{\delta}\|_2^2$$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Subject to: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Attainment Feasibility:</w:t>
      </w:r>
      <w:r>
        <w:rPr>
          <w:rFonts w:ascii="Arial" w:hAnsi="Arial"/>
          <w:color w:val="374151"/>
          <w:sz w:val="20"/>
        </w:rPr>
        <w:t xml:space="preserve"> $S_{\text{current}} + \sum_{k=1}^K \delta_k \ge \frac{A}{T}$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Category Hard Floors:</w:t>
      </w:r>
      <w:r>
        <w:rPr>
          <w:rFonts w:ascii="Arial" w:hAnsi="Arial"/>
          <w:color w:val="374151"/>
          <w:sz w:val="20"/>
        </w:rPr>
        <w:t xml:space="preserve"> $0 \le \delta_k \le C_k^{\text{current}} - C_k^{\text{floor}}$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Essential Invariance:</w:t>
      </w:r>
      <w:r>
        <w:rPr>
          <w:rFonts w:ascii="Arial" w:hAnsi="Arial"/>
          <w:color w:val="374151"/>
          <w:sz w:val="20"/>
        </w:rPr>
        <w:t xml:space="preserve"> $\delta_m = 0 \quad \forall m \in \text{Essential Categories (Rent, Utilities, Insurance)}$</w:t>
      </w:r>
    </w:p>
    <w:p>
      <w:pPr>
        <w:pStyle w:val="ListNumber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Friction Weighting:</w:t>
      </w:r>
      <w:r>
        <w:rPr>
          <w:rFonts w:ascii="Arial" w:hAnsi="Arial"/>
          <w:color w:val="374151"/>
          <w:sz w:val="20"/>
        </w:rPr>
        <w:t xml:space="preserve"> $w_k$ corresponds to the empirical lifestyle disruption metric (e.g., Dining has lower friction weight than Health/Fitness).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The optimizer emits three distinct Pareto-optimal recourse profiles: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Balanced Recourse (Profile A):</w:t>
      </w:r>
      <w:r>
        <w:rPr>
          <w:rFonts w:ascii="Arial" w:hAnsi="Arial"/>
          <w:color w:val="374151"/>
          <w:sz w:val="20"/>
        </w:rPr>
        <w:t xml:space="preserve"> Minimizes maximum individual category disruption ($\|\mathbf{\delta}\|_{\infty}$).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Aggressive Savings (Profile B):</w:t>
      </w:r>
      <w:r>
        <w:rPr>
          <w:rFonts w:ascii="Arial" w:hAnsi="Arial"/>
          <w:color w:val="374151"/>
          <w:sz w:val="20"/>
        </w:rPr>
        <w:t xml:space="preserve"> Prioritizes immediate goal fulfillment with higher discretionary cuts.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Horizon Extension (Profile C):</w:t>
      </w:r>
      <w:r>
        <w:rPr>
          <w:rFonts w:ascii="Arial" w:hAnsi="Arial"/>
          <w:color w:val="374151"/>
          <w:sz w:val="20"/>
        </w:rPr>
        <w:t xml:space="preserve"> Solves for extended time horizon $T' &gt; T$ such that $\mathbf{\delta} = \mathbf{0}$.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2.3 Solvency Stress Classifier &amp; ECE Calibration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The solvency engine evaluates bankruptcy risk and emergency reserve durability using an ECE-calibrated risk model: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Feature Vector:</w:t>
      </w:r>
      <w:r>
        <w:rPr>
          <w:rFonts w:ascii="Arial" w:hAnsi="Arial"/>
          <w:color w:val="374151"/>
          <w:sz w:val="20"/>
        </w:rPr>
        <w:t xml:space="preserve"> [Liquidity Ratio, Debt-to-Income, Cash Burn Rate, 30-day Volatility, Discretionary Ratio].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Expected Calibration Error (ECE):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$$\text{ECE} = \sum_{m=1}^M \frac{|B_m|}{N} \left| \text{acc}(B_m) - \text{conf}(B_m) \right| \le 0.04$$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b/>
          <w:color w:val="1F2937"/>
          <w:sz w:val="20"/>
        </w:rPr>
        <w:t>Selective Abstention:</w:t>
      </w:r>
      <w:r>
        <w:rPr>
          <w:rFonts w:ascii="Arial" w:hAnsi="Arial"/>
          <w:color w:val="374151"/>
          <w:sz w:val="20"/>
        </w:rPr>
        <w:t xml:space="preserve"> If $\max_c P(y=c|x) &lt; 0.60$ and epistemic variance across trees exceeds $\sigma_{\text{threshold}}$, the model emits an </w:t>
      </w:r>
      <w:r>
        <w:rPr>
          <w:rFonts w:ascii="Consolas" w:hAnsi="Consolas"/>
          <w:color w:val="B41E1E"/>
          <w:sz w:val="19"/>
        </w:rPr>
        <w:t>abstain=true</w:t>
      </w:r>
      <w:r>
        <w:rPr>
          <w:rFonts w:ascii="Arial" w:hAnsi="Arial"/>
          <w:color w:val="374151"/>
          <w:sz w:val="20"/>
        </w:rPr>
        <w:t xml:space="preserve"> flag to prevent high-confidence erroneous warnings.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Arial" w:hAnsi="Arial"/>
          <w:b/>
          <w:color w:val="1F2937"/>
          <w:sz w:val="24"/>
        </w:rPr>
        <w:t>2.4 Explainability &amp; Perturbation Stability (TreeSHAP)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Feature attributions are generated using exact TreeSHAP: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$$f(x) = \phi_0 + \sum_{j=1}^M \phi_j(x)$$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To guarantee forensic integrity against adversarial input noise, the engine executes a local perturbation test: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374151"/>
          <w:sz w:val="20"/>
        </w:rPr>
        <w:t>Adds Gaussian noise $\eta \sim \mathcal{N}(0, \sigma^2 \mathbf{I})$ with $\sigma = 0.05 \cdot \text{std}(X)$.</w:t>
      </w:r>
    </w:p>
    <w:p>
      <w:pPr>
        <w:pStyle w:val="ListBullet"/>
        <w:spacing w:before="20" w:after="40"/>
        <w:ind w:left="360"/>
      </w:pPr>
      <w:r>
        <w:rPr>
          <w:rFonts w:ascii="Arial" w:hAnsi="Arial"/>
          <w:color w:val="374151"/>
          <w:sz w:val="20"/>
        </w:rPr>
        <w:t>Calculates Kendall's Tau rank correlation $\tau(\mathbf{\phi}(x), \mathbf{\phi}(x + \eta))$: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$$\tau = \frac{P - Q}{\frac{1}{2} n (n - 1)} \ge 0.85$$</w:t>
      </w: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3. Database Schema &amp; Entity Relationships</w:t>
      </w:r>
    </w:p>
    <w:p>
      <w:pPr>
        <w:spacing w:before="40" w:after="80" w:line="276" w:lineRule="auto"/>
      </w:pPr>
      <w:r>
        <w:rPr>
          <w:rFonts w:ascii="Arial" w:hAnsi="Arial"/>
          <w:color w:val="374151"/>
          <w:sz w:val="20"/>
        </w:rPr>
        <w:t>The local SQLite database (</w:t>
      </w:r>
      <w:r>
        <w:rPr>
          <w:rFonts w:ascii="Consolas" w:hAnsi="Consolas"/>
          <w:color w:val="B41E1E"/>
          <w:sz w:val="19"/>
        </w:rPr>
        <w:t>data/personal_finance.db</w:t>
      </w:r>
      <w:r>
        <w:rPr>
          <w:rFonts w:ascii="Arial" w:hAnsi="Arial"/>
          <w:color w:val="374151"/>
          <w:sz w:val="20"/>
        </w:rPr>
        <w:t>) is structured around 6 relational tables: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Foreign Keys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Key Columns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accounts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id</w:t>
            </w:r>
            <w:r>
              <w:rPr>
                <w:rFonts w:ascii="Arial" w:hAnsi="Arial"/>
                <w:color w:val="374151"/>
                <w:sz w:val="20"/>
              </w:rPr>
              <w:t xml:space="preserve"> (VARCHAR)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name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type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balance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currency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Tracks checking, savings, and credit balances.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categories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id</w:t>
            </w:r>
            <w:r>
              <w:rPr>
                <w:rFonts w:ascii="Arial" w:hAnsi="Arial"/>
                <w:color w:val="374151"/>
                <w:sz w:val="20"/>
              </w:rPr>
              <w:t xml:space="preserve"> (VARCHAR)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name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type</w:t>
            </w:r>
            <w:r>
              <w:rPr>
                <w:rFonts w:ascii="Arial" w:hAnsi="Arial"/>
                <w:color w:val="374151"/>
                <w:sz w:val="20"/>
              </w:rPr>
              <w:t xml:space="preserve"> (Essential/Discretionary), </w:t>
            </w:r>
            <w:r>
              <w:rPr>
                <w:rFonts w:ascii="Consolas" w:hAnsi="Consolas"/>
                <w:color w:val="B41E1E"/>
                <w:sz w:val="19"/>
              </w:rPr>
              <w:t>budget_limit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Categorical classification and budget caps.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transactions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id</w:t>
            </w:r>
            <w:r>
              <w:rPr>
                <w:rFonts w:ascii="Arial" w:hAnsi="Arial"/>
                <w:color w:val="374151"/>
                <w:sz w:val="20"/>
              </w:rPr>
              <w:t xml:space="preserve"> (VARCHAR)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account_id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category_id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date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amount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description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confidence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is_recurring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Granular financial ledger records.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goals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id</w:t>
            </w:r>
            <w:r>
              <w:rPr>
                <w:rFonts w:ascii="Arial" w:hAnsi="Arial"/>
                <w:color w:val="374151"/>
                <w:sz w:val="20"/>
              </w:rPr>
              <w:t xml:space="preserve"> (VARCHAR)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title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target_amount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current_amount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target_date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Multi-month savings and investment milestones.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budget_rules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id</w:t>
            </w:r>
            <w:r>
              <w:rPr>
                <w:rFonts w:ascii="Arial" w:hAnsi="Arial"/>
                <w:color w:val="374151"/>
                <w:sz w:val="20"/>
              </w:rPr>
              <w:t xml:space="preserve"> (VARCHAR)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category_id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rule_type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threshold_amount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is_active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Real-time threshold monitoring alerts.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audit_logs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id</w:t>
            </w:r>
            <w:r>
              <w:rPr>
                <w:rFonts w:ascii="Arial" w:hAnsi="Arial"/>
                <w:color w:val="374151"/>
                <w:sz w:val="20"/>
              </w:rPr>
              <w:t xml:space="preserve"> (VARCHAR)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timestamp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action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actor</w:t>
            </w:r>
            <w:r>
              <w:rPr>
                <w:rFonts w:ascii="Arial" w:hAnsi="Arial"/>
                <w:color w:val="374151"/>
                <w:sz w:val="20"/>
              </w:rPr>
              <w:t xml:space="preserve">, </w:t>
            </w:r>
            <w:r>
              <w:rPr>
                <w:rFonts w:ascii="Consolas" w:hAnsi="Consolas"/>
                <w:color w:val="B41E1E"/>
                <w:sz w:val="19"/>
              </w:rPr>
              <w:t>details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Local forensic history for category overrides.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E7490"/>
          <w:sz w:val="30"/>
        </w:rPr>
        <w:t>4. API Specification &amp; Core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Response Payload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/api/health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{status: "ok", version: "1.0"}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Service health and engine status.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/api/accounts/summary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{total_net_worth, liquidity, monthly_burn}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Balance sheet and liquidity metrics.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/api/forecast/cashflow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horizon_days</w:t>
            </w:r>
            <w:r>
              <w:rPr>
                <w:rFonts w:ascii="Arial" w:hAnsi="Arial"/>
                <w:color w:val="374151"/>
                <w:sz w:val="20"/>
              </w:rPr>
              <w:t xml:space="preserve"> (30/60/90)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{trajectory: [{date, q10, q50, q90}], shortfall}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CQR quantile fan chart time-series.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/api/risk/stress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{solvency_score, runway_days, risk_level, drivers}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Calibrated stress analysis and key risk drivers.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GET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/api/goals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None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[{id, title, target_amount, current_amount, ...}]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Active user savings and investment goals.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GET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/api/goals/{id}/evaluate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Goal ID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{feasibility, recourse_profiles: [A, B, C]}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CFRO constrained recourse optimization.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POST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/api/xai/stability-test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noise_pct</w:t>
            </w:r>
            <w:r>
              <w:rPr>
                <w:rFonts w:ascii="Arial" w:hAnsi="Arial"/>
                <w:color w:val="374151"/>
                <w:sz w:val="20"/>
              </w:rPr>
              <w:t xml:space="preserve"> (float)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{kendall_tau, top_k_jaccard, metrics}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Mathematical perturbation stability validation.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POST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/api/transactions/override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{tx_id, new_category_id}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color w:val="B41E1E"/>
                <w:sz w:val="19"/>
              </w:rPr>
              <w:t>{status: "success", tx_id, updated_category}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color w:val="374151"/>
                <w:sz w:val="20"/>
              </w:rPr>
              <w:t>1-click human-in-the-loop category update.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