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0" w:after="120"/>
      </w:pPr>
      <w:r>
        <w:rPr>
          <w:rFonts w:ascii="Arial" w:hAnsi="Arial"/>
          <w:b/>
          <w:color w:val="1E3A8A"/>
          <w:sz w:val="40"/>
        </w:rPr>
        <w:t>Security, Privacy &amp; Access Control Specification</w:t>
      </w:r>
    </w:p>
    <w:p>
      <w:pPr>
        <w:keepNext/>
        <w:spacing w:before="280" w:after="80"/>
      </w:pPr>
      <w:r>
        <w:rPr>
          <w:rFonts w:ascii="Arial" w:hAnsi="Arial"/>
          <w:b/>
          <w:color w:val="0E7490"/>
          <w:sz w:val="30"/>
        </w:rPr>
        <w:t>Project Name: EXT-093 FinGuard Assistant</w:t>
      </w:r>
    </w:p>
    <w:p>
      <w:pPr>
        <w:spacing w:before="40" w:after="80" w:line="276" w:lineRule="auto"/>
      </w:pPr>
      <w:r>
        <w:rPr>
          <w:rFonts w:ascii="Arial" w:hAnsi="Arial"/>
          <w:b/>
          <w:color w:val="1F2937"/>
          <w:sz w:val="20"/>
        </w:rPr>
        <w:t>Subtitle:</w:t>
      </w:r>
      <w:r>
        <w:rPr>
          <w:rFonts w:ascii="Arial" w:hAnsi="Arial"/>
          <w:color w:val="374151"/>
          <w:sz w:val="20"/>
        </w:rPr>
        <w:t xml:space="preserve"> Local-First Zero-Knowledge Architecture, Threat Modeling, and Regulatory Compliance</w:t>
      </w:r>
    </w:p>
    <w:p>
      <w:pPr>
        <w:spacing w:before="40" w:after="80" w:line="276" w:lineRule="auto"/>
      </w:pPr>
      <w:r>
        <w:rPr>
          <w:rFonts w:ascii="Arial" w:hAnsi="Arial"/>
          <w:b/>
          <w:color w:val="1F2937"/>
          <w:sz w:val="20"/>
        </w:rPr>
        <w:t>Project Code:</w:t>
      </w:r>
      <w:r>
        <w:rPr>
          <w:rFonts w:ascii="Arial" w:hAnsi="Arial"/>
          <w:color w:val="374151"/>
          <w:sz w:val="20"/>
        </w:rPr>
        <w:t xml:space="preserve"> EXT-093 / Innotech-FinGuard</w:t>
      </w:r>
    </w:p>
    <w:p>
      <w:pPr>
        <w:spacing w:before="40" w:after="80" w:line="276" w:lineRule="auto"/>
      </w:pPr>
      <w:r>
        <w:rPr>
          <w:rFonts w:ascii="Arial" w:hAnsi="Arial"/>
          <w:b/>
          <w:color w:val="1F2937"/>
          <w:sz w:val="20"/>
        </w:rPr>
        <w:t>Document Version:</w:t>
      </w:r>
      <w:r>
        <w:rPr>
          <w:rFonts w:ascii="Arial" w:hAnsi="Arial"/>
          <w:color w:val="374151"/>
          <w:sz w:val="20"/>
        </w:rPr>
        <w:t xml:space="preserve"> 1.0</w:t>
      </w:r>
    </w:p>
    <w:p>
      <w:pPr>
        <w:spacing w:before="40" w:after="80" w:line="276" w:lineRule="auto"/>
      </w:pPr>
      <w:r>
        <w:rPr>
          <w:rFonts w:ascii="Arial" w:hAnsi="Arial"/>
          <w:b/>
          <w:color w:val="1F2937"/>
          <w:sz w:val="20"/>
        </w:rPr>
        <w:t>Target Milestone:</w:t>
      </w:r>
      <w:r>
        <w:rPr>
          <w:rFonts w:ascii="Arial" w:hAnsi="Arial"/>
          <w:color w:val="374151"/>
          <w:sz w:val="20"/>
        </w:rPr>
        <w:t xml:space="preserve"> Production MVP &amp; Core Engine Release</w:t>
      </w:r>
    </w:p>
    <w:p>
      <w:pPr>
        <w:spacing w:before="40" w:after="80" w:line="276" w:lineRule="auto"/>
      </w:pPr>
      <w:r>
        <w:rPr>
          <w:rFonts w:ascii="Arial" w:hAnsi="Arial"/>
          <w:b/>
          <w:color w:val="1F2937"/>
          <w:sz w:val="20"/>
        </w:rPr>
        <w:t>Status:</w:t>
      </w:r>
      <w:r>
        <w:rPr>
          <w:rFonts w:ascii="Arial" w:hAnsi="Arial"/>
          <w:color w:val="374151"/>
          <w:sz w:val="20"/>
        </w:rPr>
        <w:t xml:space="preserve"> Approved for Implementation</w:t>
      </w:r>
    </w:p>
    <w:p>
      <w:pPr>
        <w:spacing w:before="120" w:after="120"/>
        <w:pBdr>
          <w:bottom w:val="single" w:sz="6" w:space="1" w:color="E2E8F0"/>
        </w:pBdr>
      </w:pPr>
    </w:p>
    <w:p>
      <w:pPr>
        <w:keepNext/>
        <w:spacing w:before="280" w:after="80"/>
      </w:pPr>
      <w:r>
        <w:rPr>
          <w:rFonts w:ascii="Arial" w:hAnsi="Arial"/>
          <w:b/>
          <w:color w:val="0E7490"/>
          <w:sz w:val="30"/>
        </w:rPr>
        <w:t>1. Security Philosophy &amp; The Zero-Knowledge Imperative</w:t>
      </w:r>
    </w:p>
    <w:p>
      <w:pPr>
        <w:spacing w:before="40" w:after="80" w:line="276" w:lineRule="auto"/>
      </w:pPr>
      <w:r>
        <w:rPr>
          <w:rFonts w:ascii="Arial" w:hAnsi="Arial"/>
          <w:color w:val="374151"/>
          <w:sz w:val="20"/>
        </w:rPr>
        <w:t>Consumer financial data constitutes one of the most sensitive digital footprints in existence. Breaches of financial transaction records expose intimate details including healthcare copays, relationship statuses, physical locations, political donations, and emergency distress indicators.</w:t>
      </w:r>
    </w:p>
    <w:p>
      <w:pPr>
        <w:spacing w:before="40" w:after="80" w:line="276" w:lineRule="auto"/>
      </w:pPr>
      <w:r>
        <w:rPr>
          <w:rFonts w:ascii="Arial" w:hAnsi="Arial"/>
          <w:b/>
          <w:color w:val="1F2937"/>
          <w:sz w:val="20"/>
        </w:rPr>
        <w:t>EXT-093 FinGuard Assistant</w:t>
      </w:r>
      <w:r>
        <w:rPr>
          <w:rFonts w:ascii="Arial" w:hAnsi="Arial"/>
          <w:color w:val="374151"/>
          <w:sz w:val="20"/>
        </w:rPr>
        <w:t xml:space="preserve"> is designed from the ground up around a </w:t>
      </w:r>
      <w:r>
        <w:rPr>
          <w:rFonts w:ascii="Arial" w:hAnsi="Arial"/>
          <w:b/>
          <w:color w:val="1F2937"/>
          <w:sz w:val="20"/>
        </w:rPr>
        <w:t>Zero-Knowledge, Local-First Architecture</w:t>
      </w:r>
      <w:r>
        <w:rPr>
          <w:rFonts w:ascii="Arial" w:hAnsi="Arial"/>
          <w:color w:val="374151"/>
          <w:sz w:val="20"/>
        </w:rPr>
        <w:t>. By strictly decoupling high-performance financial intelligence from cloud surveillance:</w:t>
      </w:r>
    </w:p>
    <w:p>
      <w:pPr>
        <w:pStyle w:val="ListNumber"/>
        <w:spacing w:before="20" w:after="40"/>
        <w:ind w:left="360"/>
      </w:pPr>
      <w:r>
        <w:rPr>
          <w:rFonts w:ascii="Arial" w:hAnsi="Arial"/>
          <w:b/>
          <w:color w:val="1F2937"/>
          <w:sz w:val="20"/>
        </w:rPr>
        <w:t>Zero External Data Transmission:</w:t>
      </w:r>
      <w:r>
        <w:rPr>
          <w:rFonts w:ascii="Arial" w:hAnsi="Arial"/>
          <w:color w:val="374151"/>
          <w:sz w:val="20"/>
        </w:rPr>
        <w:t xml:space="preserve"> No transaction amounts, merchant names, account balances, or goal milestones are ever transmitted over external networks.</w:t>
      </w:r>
    </w:p>
    <w:p>
      <w:pPr>
        <w:pStyle w:val="ListNumber"/>
        <w:spacing w:before="20" w:after="40"/>
        <w:ind w:left="360"/>
      </w:pPr>
      <w:r>
        <w:rPr>
          <w:rFonts w:ascii="Arial" w:hAnsi="Arial"/>
          <w:b/>
          <w:color w:val="1F2937"/>
          <w:sz w:val="20"/>
        </w:rPr>
        <w:t>Device-Bound Computation:</w:t>
      </w:r>
      <w:r>
        <w:rPr>
          <w:rFonts w:ascii="Arial" w:hAnsi="Arial"/>
          <w:color w:val="374151"/>
          <w:sz w:val="20"/>
        </w:rPr>
        <w:t xml:space="preserve"> Machine learning inference (CQR forecasting, Platt-calibrated categorizers, TreeSHAP attributions) executes purely on host CPU/memory.</w:t>
      </w:r>
    </w:p>
    <w:p>
      <w:pPr>
        <w:pStyle w:val="ListNumber"/>
        <w:spacing w:before="20" w:after="40"/>
        <w:ind w:left="360"/>
      </w:pPr>
      <w:r>
        <w:rPr>
          <w:rFonts w:ascii="Arial" w:hAnsi="Arial"/>
          <w:b/>
          <w:color w:val="1F2937"/>
          <w:sz w:val="20"/>
        </w:rPr>
        <w:t>No Centralized Honey-Pot:</w:t>
      </w:r>
      <w:r>
        <w:rPr>
          <w:rFonts w:ascii="Arial" w:hAnsi="Arial"/>
          <w:color w:val="374151"/>
          <w:sz w:val="20"/>
        </w:rPr>
        <w:t xml:space="preserve"> There is no centralized server or cloud bucket containing user credentials or transaction histories that malicious actors can target.</w:t>
      </w:r>
    </w:p>
    <w:p>
      <w:pPr>
        <w:spacing w:before="120" w:after="120"/>
        <w:pBdr>
          <w:bottom w:val="single" w:sz="6" w:space="1" w:color="E2E8F0"/>
        </w:pBdr>
      </w:pPr>
    </w:p>
    <w:p>
      <w:pPr>
        <w:keepNext/>
        <w:spacing w:before="280" w:after="80"/>
      </w:pPr>
      <w:r>
        <w:rPr>
          <w:rFonts w:ascii="Arial" w:hAnsi="Arial"/>
          <w:b/>
          <w:color w:val="0E7490"/>
          <w:sz w:val="30"/>
        </w:rPr>
        <w:t>2. Threat Modeling &amp; STRIDE Risk Assessment</w:t>
      </w:r>
    </w:p>
    <w:tbl>
      <w:tblPr>
        <w:tblW w:type="auto" w:w="0"/>
        <w:jc w:val="center"/>
        <w:tblLayout w:type="autofit"/>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340"/>
            <w:shd w:fill="1E3A8A"/>
            <w:tcMar>
              <w:top w:w="100" w:type="dxa"/>
              <w:bottom w:w="100" w:type="dxa"/>
              <w:left w:w="120" w:type="dxa"/>
              <w:right w:w="120" w:type="dxa"/>
            </w:tcMar>
          </w:tcPr>
          <w:p>
            <w:pPr>
              <w:spacing w:before="60" w:after="60"/>
            </w:pPr>
            <w:r>
              <w:rPr>
                <w:rFonts w:ascii="Arial" w:hAnsi="Arial"/>
                <w:b/>
                <w:color w:val="FFFFFF"/>
                <w:sz w:val="19"/>
              </w:rPr>
              <w:t>STRIDE Threat Category</w:t>
            </w:r>
          </w:p>
        </w:tc>
        <w:tc>
          <w:tcPr>
            <w:tcW w:type="dxa" w:w="2340"/>
            <w:shd w:fill="1E3A8A"/>
            <w:tcMar>
              <w:top w:w="100" w:type="dxa"/>
              <w:bottom w:w="100" w:type="dxa"/>
              <w:left w:w="120" w:type="dxa"/>
              <w:right w:w="120" w:type="dxa"/>
            </w:tcMar>
          </w:tcPr>
          <w:p>
            <w:pPr>
              <w:spacing w:before="60" w:after="60"/>
            </w:pPr>
            <w:r>
              <w:rPr>
                <w:rFonts w:ascii="Arial" w:hAnsi="Arial"/>
                <w:b/>
                <w:color w:val="FFFFFF"/>
                <w:sz w:val="19"/>
              </w:rPr>
              <w:t>Threat Description</w:t>
            </w:r>
          </w:p>
        </w:tc>
        <w:tc>
          <w:tcPr>
            <w:tcW w:type="dxa" w:w="2340"/>
            <w:shd w:fill="1E3A8A"/>
            <w:tcMar>
              <w:top w:w="100" w:type="dxa"/>
              <w:bottom w:w="100" w:type="dxa"/>
              <w:left w:w="120" w:type="dxa"/>
              <w:right w:w="120" w:type="dxa"/>
            </w:tcMar>
          </w:tcPr>
          <w:p>
            <w:pPr>
              <w:spacing w:before="60" w:after="60"/>
            </w:pPr>
            <w:r>
              <w:rPr>
                <w:rFonts w:ascii="Arial" w:hAnsi="Arial"/>
                <w:b/>
                <w:color w:val="FFFFFF"/>
                <w:sz w:val="19"/>
              </w:rPr>
              <w:t>Severity</w:t>
            </w:r>
          </w:p>
        </w:tc>
        <w:tc>
          <w:tcPr>
            <w:tcW w:type="dxa" w:w="2340"/>
            <w:shd w:fill="1E3A8A"/>
            <w:tcMar>
              <w:top w:w="100" w:type="dxa"/>
              <w:bottom w:w="100" w:type="dxa"/>
              <w:left w:w="120" w:type="dxa"/>
              <w:right w:w="120" w:type="dxa"/>
            </w:tcMar>
          </w:tcPr>
          <w:p>
            <w:pPr>
              <w:spacing w:before="60" w:after="60"/>
            </w:pPr>
            <w:r>
              <w:rPr>
                <w:rFonts w:ascii="Arial" w:hAnsi="Arial"/>
                <w:b/>
                <w:color w:val="FFFFFF"/>
                <w:sz w:val="19"/>
              </w:rPr>
              <w:t>EXT-093 Countermeasure &amp; Defense Implementation</w:t>
            </w:r>
          </w:p>
        </w:tc>
      </w:tr>
      <w:tr>
        <w:tc>
          <w:tcPr>
            <w:tcW w:type="dxa" w:w="2340"/>
            <w:shd w:fill="F8FAFC"/>
            <w:tcMar>
              <w:top w:w="80" w:type="dxa"/>
              <w:bottom w:w="80" w:type="dxa"/>
              <w:left w:w="120" w:type="dxa"/>
              <w:right w:w="120" w:type="dxa"/>
            </w:tcMar>
          </w:tcPr>
          <w:p>
            <w:pPr>
              <w:spacing w:before="60" w:after="60"/>
            </w:pPr>
            <w:r>
              <w:rPr>
                <w:rFonts w:ascii="Arial" w:hAnsi="Arial"/>
                <w:b/>
                <w:color w:val="1F2937"/>
                <w:sz w:val="20"/>
              </w:rPr>
              <w:t>Spoofing Identity</w:t>
            </w:r>
          </w:p>
        </w:tc>
        <w:tc>
          <w:tcPr>
            <w:tcW w:type="dxa" w:w="2340"/>
            <w:shd w:fill="F8FAFC"/>
            <w:tcMar>
              <w:top w:w="80" w:type="dxa"/>
              <w:bottom w:w="80" w:type="dxa"/>
              <w:left w:w="120" w:type="dxa"/>
              <w:right w:w="120" w:type="dxa"/>
            </w:tcMar>
          </w:tcPr>
          <w:p>
            <w:pPr>
              <w:spacing w:before="60" w:after="60"/>
            </w:pPr>
            <w:r>
              <w:rPr>
                <w:rFonts w:ascii="Arial" w:hAnsi="Arial"/>
                <w:color w:val="374151"/>
                <w:sz w:val="20"/>
              </w:rPr>
              <w:t>Unauthorized process impersonating the legitimate user or UI to query financial metrics.</w:t>
            </w:r>
          </w:p>
        </w:tc>
        <w:tc>
          <w:tcPr>
            <w:tcW w:type="dxa" w:w="2340"/>
            <w:shd w:fill="F8FAFC"/>
            <w:tcMar>
              <w:top w:w="80" w:type="dxa"/>
              <w:bottom w:w="80" w:type="dxa"/>
              <w:left w:w="120" w:type="dxa"/>
              <w:right w:w="120" w:type="dxa"/>
            </w:tcMar>
          </w:tcPr>
          <w:p>
            <w:pPr>
              <w:spacing w:before="60" w:after="60"/>
            </w:pPr>
            <w:r>
              <w:rPr>
                <w:rFonts w:ascii="Arial" w:hAnsi="Arial"/>
                <w:color w:val="374151"/>
                <w:sz w:val="20"/>
              </w:rPr>
              <w:t>Medium</w:t>
            </w:r>
          </w:p>
        </w:tc>
        <w:tc>
          <w:tcPr>
            <w:tcW w:type="dxa" w:w="2340"/>
            <w:shd w:fill="F8FAFC"/>
            <w:tcMar>
              <w:top w:w="80" w:type="dxa"/>
              <w:bottom w:w="80" w:type="dxa"/>
              <w:left w:w="120" w:type="dxa"/>
              <w:right w:w="120" w:type="dxa"/>
            </w:tcMar>
          </w:tcPr>
          <w:p>
            <w:pPr>
              <w:spacing w:before="60" w:after="60"/>
            </w:pPr>
            <w:r>
              <w:rPr>
                <w:rFonts w:ascii="Arial" w:hAnsi="Arial"/>
                <w:color w:val="374151"/>
                <w:sz w:val="20"/>
              </w:rPr>
              <w:t xml:space="preserve">Localhost binding restricted strictly to </w:t>
            </w:r>
            <w:r>
              <w:rPr>
                <w:rFonts w:ascii="Consolas" w:hAnsi="Consolas"/>
                <w:color w:val="B41E1E"/>
                <w:sz w:val="19"/>
              </w:rPr>
              <w:t>127.0.0.1</w:t>
            </w:r>
            <w:r>
              <w:rPr>
                <w:rFonts w:ascii="Arial" w:hAnsi="Arial"/>
                <w:color w:val="374151"/>
                <w:sz w:val="20"/>
              </w:rPr>
              <w:t>. CORS policies disallow external origins.</w:t>
            </w:r>
          </w:p>
        </w:tc>
      </w:tr>
      <w:tr>
        <w:tc>
          <w:tcPr>
            <w:tcW w:type="dxa" w:w="2340"/>
            <w:shd w:fill="FFFFFF"/>
            <w:tcMar>
              <w:top w:w="80" w:type="dxa"/>
              <w:bottom w:w="80" w:type="dxa"/>
              <w:left w:w="120" w:type="dxa"/>
              <w:right w:w="120" w:type="dxa"/>
            </w:tcMar>
          </w:tcPr>
          <w:p>
            <w:pPr>
              <w:spacing w:before="60" w:after="60"/>
            </w:pPr>
            <w:r>
              <w:rPr>
                <w:rFonts w:ascii="Arial" w:hAnsi="Arial"/>
                <w:b/>
                <w:color w:val="1F2937"/>
                <w:sz w:val="20"/>
              </w:rPr>
              <w:t>Tampering with Data</w:t>
            </w:r>
          </w:p>
        </w:tc>
        <w:tc>
          <w:tcPr>
            <w:tcW w:type="dxa" w:w="2340"/>
            <w:shd w:fill="FFFFFF"/>
            <w:tcMar>
              <w:top w:w="80" w:type="dxa"/>
              <w:bottom w:w="80" w:type="dxa"/>
              <w:left w:w="120" w:type="dxa"/>
              <w:right w:w="120" w:type="dxa"/>
            </w:tcMar>
          </w:tcPr>
          <w:p>
            <w:pPr>
              <w:spacing w:before="60" w:after="60"/>
            </w:pPr>
            <w:r>
              <w:rPr>
                <w:rFonts w:ascii="Arial" w:hAnsi="Arial"/>
                <w:color w:val="374151"/>
                <w:sz w:val="20"/>
              </w:rPr>
              <w:t>Malicious injection or modification of transaction history in SQLite ledger.</w:t>
            </w:r>
          </w:p>
        </w:tc>
        <w:tc>
          <w:tcPr>
            <w:tcW w:type="dxa" w:w="2340"/>
            <w:shd w:fill="FFFFFF"/>
            <w:tcMar>
              <w:top w:w="80" w:type="dxa"/>
              <w:bottom w:w="80" w:type="dxa"/>
              <w:left w:w="120" w:type="dxa"/>
              <w:right w:w="120" w:type="dxa"/>
            </w:tcMar>
          </w:tcPr>
          <w:p>
            <w:pPr>
              <w:spacing w:before="60" w:after="60"/>
            </w:pPr>
            <w:r>
              <w:rPr>
                <w:rFonts w:ascii="Arial" w:hAnsi="Arial"/>
                <w:color w:val="374151"/>
                <w:sz w:val="20"/>
              </w:rPr>
              <w:t>High</w:t>
            </w:r>
          </w:p>
        </w:tc>
        <w:tc>
          <w:tcPr>
            <w:tcW w:type="dxa" w:w="2340"/>
            <w:shd w:fill="FFFFFF"/>
            <w:tcMar>
              <w:top w:w="80" w:type="dxa"/>
              <w:bottom w:w="80" w:type="dxa"/>
              <w:left w:w="120" w:type="dxa"/>
              <w:right w:w="120" w:type="dxa"/>
            </w:tcMar>
          </w:tcPr>
          <w:p>
            <w:pPr>
              <w:spacing w:before="60" w:after="60"/>
            </w:pPr>
            <w:r>
              <w:rPr>
                <w:rFonts w:ascii="Arial" w:hAnsi="Arial"/>
                <w:color w:val="374151"/>
                <w:sz w:val="20"/>
              </w:rPr>
              <w:t>Parameterized queries via SQLAlchemy ORM; strict Pydantic type validation; SQLite integrity checks.</w:t>
            </w:r>
          </w:p>
        </w:tc>
      </w:tr>
      <w:tr>
        <w:tc>
          <w:tcPr>
            <w:tcW w:type="dxa" w:w="2340"/>
            <w:shd w:fill="F8FAFC"/>
            <w:tcMar>
              <w:top w:w="80" w:type="dxa"/>
              <w:bottom w:w="80" w:type="dxa"/>
              <w:left w:w="120" w:type="dxa"/>
              <w:right w:w="120" w:type="dxa"/>
            </w:tcMar>
          </w:tcPr>
          <w:p>
            <w:pPr>
              <w:spacing w:before="60" w:after="60"/>
            </w:pPr>
            <w:r>
              <w:rPr>
                <w:rFonts w:ascii="Arial" w:hAnsi="Arial"/>
                <w:b/>
                <w:color w:val="1F2937"/>
                <w:sz w:val="20"/>
              </w:rPr>
              <w:t>Repudiation</w:t>
            </w:r>
          </w:p>
        </w:tc>
        <w:tc>
          <w:tcPr>
            <w:tcW w:type="dxa" w:w="2340"/>
            <w:shd w:fill="F8FAFC"/>
            <w:tcMar>
              <w:top w:w="80" w:type="dxa"/>
              <w:bottom w:w="80" w:type="dxa"/>
              <w:left w:w="120" w:type="dxa"/>
              <w:right w:w="120" w:type="dxa"/>
            </w:tcMar>
          </w:tcPr>
          <w:p>
            <w:pPr>
              <w:spacing w:before="60" w:after="60"/>
            </w:pPr>
            <w:r>
              <w:rPr>
                <w:rFonts w:ascii="Arial" w:hAnsi="Arial"/>
                <w:color w:val="374151"/>
                <w:sz w:val="20"/>
              </w:rPr>
              <w:t>User or automated subsystem disputes a transaction reclassification or budget adjustment.</w:t>
            </w:r>
          </w:p>
        </w:tc>
        <w:tc>
          <w:tcPr>
            <w:tcW w:type="dxa" w:w="2340"/>
            <w:shd w:fill="F8FAFC"/>
            <w:tcMar>
              <w:top w:w="80" w:type="dxa"/>
              <w:bottom w:w="80" w:type="dxa"/>
              <w:left w:w="120" w:type="dxa"/>
              <w:right w:w="120" w:type="dxa"/>
            </w:tcMar>
          </w:tcPr>
          <w:p>
            <w:pPr>
              <w:spacing w:before="60" w:after="60"/>
            </w:pPr>
            <w:r>
              <w:rPr>
                <w:rFonts w:ascii="Arial" w:hAnsi="Arial"/>
                <w:color w:val="374151"/>
                <w:sz w:val="20"/>
              </w:rPr>
              <w:t>Low</w:t>
            </w:r>
          </w:p>
        </w:tc>
        <w:tc>
          <w:tcPr>
            <w:tcW w:type="dxa" w:w="2340"/>
            <w:shd w:fill="F8FAFC"/>
            <w:tcMar>
              <w:top w:w="80" w:type="dxa"/>
              <w:bottom w:w="80" w:type="dxa"/>
              <w:left w:w="120" w:type="dxa"/>
              <w:right w:w="120" w:type="dxa"/>
            </w:tcMar>
          </w:tcPr>
          <w:p>
            <w:pPr>
              <w:spacing w:before="60" w:after="60"/>
            </w:pPr>
            <w:r>
              <w:rPr>
                <w:rFonts w:ascii="Arial" w:hAnsi="Arial"/>
                <w:color w:val="374151"/>
                <w:sz w:val="20"/>
              </w:rPr>
              <w:t xml:space="preserve">Immutable </w:t>
            </w:r>
            <w:r>
              <w:rPr>
                <w:rFonts w:ascii="Consolas" w:hAnsi="Consolas"/>
                <w:color w:val="B41E1E"/>
                <w:sz w:val="19"/>
              </w:rPr>
              <w:t>audit_logs</w:t>
            </w:r>
            <w:r>
              <w:rPr>
                <w:rFonts w:ascii="Arial" w:hAnsi="Arial"/>
                <w:color w:val="374151"/>
                <w:sz w:val="20"/>
              </w:rPr>
              <w:t xml:space="preserve"> table recording all override actions, timestamps, and previous values.</w:t>
            </w:r>
          </w:p>
        </w:tc>
      </w:tr>
      <w:tr>
        <w:tc>
          <w:tcPr>
            <w:tcW w:type="dxa" w:w="2340"/>
            <w:shd w:fill="FFFFFF"/>
            <w:tcMar>
              <w:top w:w="80" w:type="dxa"/>
              <w:bottom w:w="80" w:type="dxa"/>
              <w:left w:w="120" w:type="dxa"/>
              <w:right w:w="120" w:type="dxa"/>
            </w:tcMar>
          </w:tcPr>
          <w:p>
            <w:pPr>
              <w:spacing w:before="60" w:after="60"/>
            </w:pPr>
            <w:r>
              <w:rPr>
                <w:rFonts w:ascii="Arial" w:hAnsi="Arial"/>
                <w:b/>
                <w:color w:val="1F2937"/>
                <w:sz w:val="20"/>
              </w:rPr>
              <w:t>Information Disclosure</w:t>
            </w:r>
          </w:p>
        </w:tc>
        <w:tc>
          <w:tcPr>
            <w:tcW w:type="dxa" w:w="2340"/>
            <w:shd w:fill="FFFFFF"/>
            <w:tcMar>
              <w:top w:w="80" w:type="dxa"/>
              <w:bottom w:w="80" w:type="dxa"/>
              <w:left w:w="120" w:type="dxa"/>
              <w:right w:w="120" w:type="dxa"/>
            </w:tcMar>
          </w:tcPr>
          <w:p>
            <w:pPr>
              <w:spacing w:before="60" w:after="60"/>
            </w:pPr>
            <w:r>
              <w:rPr>
                <w:rFonts w:ascii="Arial" w:hAnsi="Arial"/>
                <w:color w:val="374151"/>
                <w:sz w:val="20"/>
              </w:rPr>
              <w:t>Memory scraping, disk inspection, or exfiltration of plaintext bank statements.</w:t>
            </w:r>
          </w:p>
        </w:tc>
        <w:tc>
          <w:tcPr>
            <w:tcW w:type="dxa" w:w="2340"/>
            <w:shd w:fill="FFFFFF"/>
            <w:tcMar>
              <w:top w:w="80" w:type="dxa"/>
              <w:bottom w:w="80" w:type="dxa"/>
              <w:left w:w="120" w:type="dxa"/>
              <w:right w:w="120" w:type="dxa"/>
            </w:tcMar>
          </w:tcPr>
          <w:p>
            <w:pPr>
              <w:spacing w:before="60" w:after="60"/>
            </w:pPr>
            <w:r>
              <w:rPr>
                <w:rFonts w:ascii="Arial" w:hAnsi="Arial"/>
                <w:color w:val="374151"/>
                <w:sz w:val="20"/>
              </w:rPr>
              <w:t>High</w:t>
            </w:r>
          </w:p>
        </w:tc>
        <w:tc>
          <w:tcPr>
            <w:tcW w:type="dxa" w:w="2340"/>
            <w:shd w:fill="FFFFFF"/>
            <w:tcMar>
              <w:top w:w="80" w:type="dxa"/>
              <w:bottom w:w="80" w:type="dxa"/>
              <w:left w:w="120" w:type="dxa"/>
              <w:right w:w="120" w:type="dxa"/>
            </w:tcMar>
          </w:tcPr>
          <w:p>
            <w:pPr>
              <w:spacing w:before="60" w:after="60"/>
            </w:pPr>
            <w:r>
              <w:rPr>
                <w:rFonts w:ascii="Arial" w:hAnsi="Arial"/>
                <w:color w:val="374151"/>
                <w:sz w:val="20"/>
              </w:rPr>
              <w:t>Local database encrypted via host OS file access controls (EFS / BitLocker); memory scrubbing post-import.</w:t>
            </w:r>
          </w:p>
        </w:tc>
      </w:tr>
      <w:tr>
        <w:tc>
          <w:tcPr>
            <w:tcW w:type="dxa" w:w="2340"/>
            <w:shd w:fill="F8FAFC"/>
            <w:tcMar>
              <w:top w:w="80" w:type="dxa"/>
              <w:bottom w:w="80" w:type="dxa"/>
              <w:left w:w="120" w:type="dxa"/>
              <w:right w:w="120" w:type="dxa"/>
            </w:tcMar>
          </w:tcPr>
          <w:p>
            <w:pPr>
              <w:spacing w:before="60" w:after="60"/>
            </w:pPr>
            <w:r>
              <w:rPr>
                <w:rFonts w:ascii="Arial" w:hAnsi="Arial"/>
                <w:b/>
                <w:color w:val="1F2937"/>
                <w:sz w:val="20"/>
              </w:rPr>
              <w:t>Denial of Service (DoS)</w:t>
            </w:r>
          </w:p>
        </w:tc>
        <w:tc>
          <w:tcPr>
            <w:tcW w:type="dxa" w:w="2340"/>
            <w:shd w:fill="F8FAFC"/>
            <w:tcMar>
              <w:top w:w="80" w:type="dxa"/>
              <w:bottom w:w="80" w:type="dxa"/>
              <w:left w:w="120" w:type="dxa"/>
              <w:right w:w="120" w:type="dxa"/>
            </w:tcMar>
          </w:tcPr>
          <w:p>
            <w:pPr>
              <w:spacing w:before="60" w:after="60"/>
            </w:pPr>
            <w:r>
              <w:rPr>
                <w:rFonts w:ascii="Arial" w:hAnsi="Arial"/>
                <w:color w:val="374151"/>
                <w:sz w:val="20"/>
              </w:rPr>
              <w:t>Malformed synthetic files or huge CSV imports causing memory exhaustion.</w:t>
            </w:r>
          </w:p>
        </w:tc>
        <w:tc>
          <w:tcPr>
            <w:tcW w:type="dxa" w:w="2340"/>
            <w:shd w:fill="F8FAFC"/>
            <w:tcMar>
              <w:top w:w="80" w:type="dxa"/>
              <w:bottom w:w="80" w:type="dxa"/>
              <w:left w:w="120" w:type="dxa"/>
              <w:right w:w="120" w:type="dxa"/>
            </w:tcMar>
          </w:tcPr>
          <w:p>
            <w:pPr>
              <w:spacing w:before="60" w:after="60"/>
            </w:pPr>
            <w:r>
              <w:rPr>
                <w:rFonts w:ascii="Arial" w:hAnsi="Arial"/>
                <w:color w:val="374151"/>
                <w:sz w:val="20"/>
              </w:rPr>
              <w:t>Medium</w:t>
            </w:r>
          </w:p>
        </w:tc>
        <w:tc>
          <w:tcPr>
            <w:tcW w:type="dxa" w:w="2340"/>
            <w:shd w:fill="F8FAFC"/>
            <w:tcMar>
              <w:top w:w="80" w:type="dxa"/>
              <w:bottom w:w="80" w:type="dxa"/>
              <w:left w:w="120" w:type="dxa"/>
              <w:right w:w="120" w:type="dxa"/>
            </w:tcMar>
          </w:tcPr>
          <w:p>
            <w:pPr>
              <w:spacing w:before="60" w:after="60"/>
            </w:pPr>
            <w:r>
              <w:rPr>
                <w:rFonts w:ascii="Arial" w:hAnsi="Arial"/>
                <w:color w:val="374151"/>
                <w:sz w:val="20"/>
              </w:rPr>
              <w:t>Strict streaming chunk sizes ($5,000$ rows max per ingestion batch); process memory ceiling at $250\text{ MB}$.</w:t>
            </w:r>
          </w:p>
        </w:tc>
      </w:tr>
      <w:tr>
        <w:tc>
          <w:tcPr>
            <w:tcW w:type="dxa" w:w="2340"/>
            <w:shd w:fill="FFFFFF"/>
            <w:tcMar>
              <w:top w:w="80" w:type="dxa"/>
              <w:bottom w:w="80" w:type="dxa"/>
              <w:left w:w="120" w:type="dxa"/>
              <w:right w:w="120" w:type="dxa"/>
            </w:tcMar>
          </w:tcPr>
          <w:p>
            <w:pPr>
              <w:spacing w:before="60" w:after="60"/>
            </w:pPr>
            <w:r>
              <w:rPr>
                <w:rFonts w:ascii="Arial" w:hAnsi="Arial"/>
                <w:b/>
                <w:color w:val="1F2937"/>
                <w:sz w:val="20"/>
              </w:rPr>
              <w:t>Elevation of Privilege</w:t>
            </w:r>
          </w:p>
        </w:tc>
        <w:tc>
          <w:tcPr>
            <w:tcW w:type="dxa" w:w="2340"/>
            <w:shd w:fill="FFFFFF"/>
            <w:tcMar>
              <w:top w:w="80" w:type="dxa"/>
              <w:bottom w:w="80" w:type="dxa"/>
              <w:left w:w="120" w:type="dxa"/>
              <w:right w:w="120" w:type="dxa"/>
            </w:tcMar>
          </w:tcPr>
          <w:p>
            <w:pPr>
              <w:spacing w:before="60" w:after="60"/>
            </w:pPr>
            <w:r>
              <w:rPr>
                <w:rFonts w:ascii="Arial" w:hAnsi="Arial"/>
                <w:color w:val="374151"/>
                <w:sz w:val="20"/>
              </w:rPr>
              <w:t>Exploit in Python dependencies or web view gaining elevated host system privileges.</w:t>
            </w:r>
          </w:p>
        </w:tc>
        <w:tc>
          <w:tcPr>
            <w:tcW w:type="dxa" w:w="2340"/>
            <w:shd w:fill="FFFFFF"/>
            <w:tcMar>
              <w:top w:w="80" w:type="dxa"/>
              <w:bottom w:w="80" w:type="dxa"/>
              <w:left w:w="120" w:type="dxa"/>
              <w:right w:w="120" w:type="dxa"/>
            </w:tcMar>
          </w:tcPr>
          <w:p>
            <w:pPr>
              <w:spacing w:before="60" w:after="60"/>
            </w:pPr>
            <w:r>
              <w:rPr>
                <w:rFonts w:ascii="Arial" w:hAnsi="Arial"/>
                <w:color w:val="374151"/>
                <w:sz w:val="20"/>
              </w:rPr>
              <w:t>High</w:t>
            </w:r>
          </w:p>
        </w:tc>
        <w:tc>
          <w:tcPr>
            <w:tcW w:type="dxa" w:w="2340"/>
            <w:shd w:fill="FFFFFF"/>
            <w:tcMar>
              <w:top w:w="80" w:type="dxa"/>
              <w:bottom w:w="80" w:type="dxa"/>
              <w:left w:w="120" w:type="dxa"/>
              <w:right w:w="120" w:type="dxa"/>
            </w:tcMar>
          </w:tcPr>
          <w:p>
            <w:pPr>
              <w:spacing w:before="60" w:after="60"/>
            </w:pPr>
            <w:r>
              <w:rPr>
                <w:rFonts w:ascii="Arial" w:hAnsi="Arial"/>
                <w:color w:val="374151"/>
                <w:sz w:val="20"/>
              </w:rPr>
              <w:t>Operates with unprivileged user permissions; zero reliance on root/admin daemons.</w:t>
            </w:r>
          </w:p>
        </w:tc>
      </w:tr>
    </w:tbl>
    <w:p>
      <w:pPr>
        <w:spacing w:before="0" w:after="80"/>
      </w:pPr>
    </w:p>
    <w:p>
      <w:pPr>
        <w:spacing w:before="120" w:after="120"/>
        <w:pBdr>
          <w:bottom w:val="single" w:sz="6" w:space="1" w:color="E2E8F0"/>
        </w:pBdr>
      </w:pPr>
    </w:p>
    <w:p>
      <w:pPr>
        <w:keepNext/>
        <w:spacing w:before="280" w:after="80"/>
      </w:pPr>
      <w:r>
        <w:rPr>
          <w:rFonts w:ascii="Arial" w:hAnsi="Arial"/>
          <w:b/>
          <w:color w:val="0E7490"/>
          <w:sz w:val="30"/>
        </w:rPr>
        <w:t>3. Data Protection Architecture &amp; Cryptographic Controls</w:t>
      </w:r>
    </w:p>
    <w:p>
      <w:pPr>
        <w:spacing w:before="120" w:after="120"/>
        <w:ind w:left="288" w:right="288"/>
        <w:shd w:fill="F1F5F9"/>
      </w:pPr>
      <w:r>
        <w:rPr>
          <w:rFonts w:ascii="Consolas" w:hAnsi="Consolas"/>
          <w:color w:val="1E293B"/>
          <w:sz w:val="18"/>
        </w:rPr>
        <w:t>+-----------------------------------------------------------------------------------+</w:t>
        <w:br/>
        <w:t>|                     DATA PROTECTION &amp; STORAGE BOUNDARIES                          |</w:t>
        <w:br/>
        <w:t>+-----------------------------------------------------------------------------------+</w:t>
        <w:br/>
        <w:t>|  [ Ingestion Ingress ]                                                            |</w:t>
        <w:br/>
        <w:t>|  - Raw CSV/JSON statements parsed in-memory with strict Pydantic schema validation|</w:t>
        <w:br/>
        <w:t>|  - Immediate scrubbing of raw ingestion buffers after database insertion          |</w:t>
        <w:br/>
        <w:t>+------------------------------------------+----------------------------------------+</w:t>
        <w:br/>
        <w:t xml:space="preserve">                                           |</w:t>
        <w:br/>
        <w:t>+------------------------------------------v----------------------------------------+</w:t>
        <w:br/>
        <w:t>|  [ Local Persistence: SQLite Database ]                                           |</w:t>
        <w:br/>
        <w:t>|  - Stored on host OS at: `data/personal_finance.db`                               |</w:t>
        <w:br/>
        <w:t>|  - Protected by OS Discretionary Access Control (ACL: current user only)           |</w:t>
        <w:br/>
        <w:t>|  - Foreign key integrity enforcement: `PRAGMA foreign_keys = ON;`                 |</w:t>
        <w:br/>
        <w:t>|  - Write-Ahead Logging (WAL) enabled: `PRAGMA journal_mode = WAL;`                |</w:t>
        <w:br/>
        <w:t>+------------------------------------------+----------------------------------------+</w:t>
        <w:br/>
        <w:t xml:space="preserve">                                           |</w:t>
        <w:br/>
        <w:t>+------------------------------------------v----------------------------------------+</w:t>
        <w:br/>
        <w:t>|  [ Runtime Boundary: 127.0.0.1:8000 ]                                             |</w:t>
        <w:br/>
        <w:t>|  - FastAPI ASGI server bound exclusively to IPv4 Loopback (`127.0.0.1`)           |</w:t>
        <w:br/>
        <w:t>|  - Rejects incoming packets originating from non-loopback network adapters       |</w:t>
        <w:br/>
        <w:t>+-----------------------------------------------------------------------------------+</w:t>
      </w:r>
    </w:p>
    <w:p>
      <w:pPr>
        <w:spacing w:before="120" w:after="120"/>
        <w:pBdr>
          <w:bottom w:val="single" w:sz="6" w:space="1" w:color="E2E8F0"/>
        </w:pBdr>
      </w:pPr>
    </w:p>
    <w:p>
      <w:pPr>
        <w:keepNext/>
        <w:spacing w:before="280" w:after="80"/>
      </w:pPr>
      <w:r>
        <w:rPr>
          <w:rFonts w:ascii="Arial" w:hAnsi="Arial"/>
          <w:b/>
          <w:color w:val="0E7490"/>
          <w:sz w:val="30"/>
        </w:rPr>
        <w:t>4. Input Sanitization &amp; Application Security Defenses</w:t>
      </w:r>
    </w:p>
    <w:p>
      <w:pPr>
        <w:keepNext/>
        <w:spacing w:before="200" w:after="40"/>
      </w:pPr>
      <w:r>
        <w:rPr>
          <w:rFonts w:ascii="Arial" w:hAnsi="Arial"/>
          <w:b/>
          <w:color w:val="1F2937"/>
          <w:sz w:val="24"/>
        </w:rPr>
        <w:t>4.1 SQL Injection Prevention</w:t>
      </w:r>
    </w:p>
    <w:p>
      <w:pPr>
        <w:spacing w:before="40" w:after="80" w:line="276" w:lineRule="auto"/>
      </w:pPr>
      <w:r>
        <w:rPr>
          <w:rFonts w:ascii="Arial" w:hAnsi="Arial"/>
          <w:color w:val="374151"/>
          <w:sz w:val="20"/>
        </w:rPr>
        <w:t>Direct SQL string concatenation is strictly prohibited across all repositories and backend handlers. Every query is executed either through:</w:t>
      </w:r>
    </w:p>
    <w:p>
      <w:pPr>
        <w:pStyle w:val="ListNumber"/>
        <w:spacing w:before="20" w:after="40"/>
        <w:ind w:left="360"/>
      </w:pPr>
      <w:r>
        <w:rPr>
          <w:rFonts w:ascii="Arial" w:hAnsi="Arial"/>
          <w:b/>
          <w:color w:val="1F2937"/>
          <w:sz w:val="20"/>
        </w:rPr>
        <w:t>SQLAlchemy ORM</w:t>
      </w:r>
      <w:r>
        <w:rPr>
          <w:rFonts w:ascii="Arial" w:hAnsi="Arial"/>
          <w:color w:val="374151"/>
          <w:sz w:val="20"/>
        </w:rPr>
        <w:t xml:space="preserve"> session queries utilizing parameterized bound parameters:</w:t>
      </w:r>
    </w:p>
    <w:p>
      <w:pPr>
        <w:spacing w:before="40" w:after="80" w:line="276" w:lineRule="auto"/>
      </w:pPr>
      <w:r>
        <w:rPr>
          <w:rFonts w:ascii="Consolas" w:hAnsi="Consolas"/>
          <w:color w:val="B41E1E"/>
          <w:sz w:val="19"/>
        </w:rPr>
      </w:r>
      <w:r>
        <w:rPr>
          <w:rFonts w:ascii="Arial" w:hAnsi="Arial"/>
          <w:color w:val="374151"/>
          <w:sz w:val="20"/>
        </w:rPr>
        <w:t>`python</w:t>
      </w:r>
    </w:p>
    <w:p>
      <w:pPr>
        <w:spacing w:before="40" w:after="80" w:line="276" w:lineRule="auto"/>
      </w:pPr>
      <w:r>
        <w:rPr>
          <w:rFonts w:ascii="Arial" w:hAnsi="Arial"/>
          <w:color w:val="374151"/>
          <w:sz w:val="20"/>
        </w:rPr>
        <w:t># Enforced Pattern</w:t>
      </w:r>
    </w:p>
    <w:p>
      <w:pPr>
        <w:spacing w:before="40" w:after="80" w:line="276" w:lineRule="auto"/>
      </w:pPr>
      <w:r>
        <w:rPr>
          <w:rFonts w:ascii="Arial" w:hAnsi="Arial"/>
          <w:color w:val="374151"/>
          <w:sz w:val="20"/>
        </w:rPr>
        <w:t>session.query(Transaction).filter(Transaction.account_id == account_id).all()</w:t>
      </w:r>
    </w:p>
    <w:p>
      <w:pPr>
        <w:spacing w:before="40" w:after="80" w:line="276" w:lineRule="auto"/>
      </w:pPr>
      <w:r>
        <w:rPr>
          <w:rFonts w:ascii="Consolas" w:hAnsi="Consolas"/>
          <w:color w:val="B41E1E"/>
          <w:sz w:val="19"/>
        </w:rPr>
      </w:r>
      <w:r>
        <w:rPr>
          <w:rFonts w:ascii="Consolas" w:hAnsi="Consolas"/>
          <w:color w:val="B41E1E"/>
          <w:sz w:val="19"/>
        </w:rPr>
      </w:r>
    </w:p>
    <w:p>
      <w:pPr>
        <w:pStyle w:val="ListNumber"/>
        <w:spacing w:before="20" w:after="40"/>
        <w:ind w:left="360"/>
      </w:pPr>
      <w:r>
        <w:rPr>
          <w:rFonts w:ascii="Arial" w:hAnsi="Arial"/>
          <w:b/>
          <w:color w:val="1F2937"/>
          <w:sz w:val="20"/>
        </w:rPr>
        <w:t>Pydantic Type Guards:</w:t>
      </w:r>
      <w:r>
        <w:rPr>
          <w:rFonts w:ascii="Arial" w:hAnsi="Arial"/>
          <w:color w:val="374151"/>
          <w:sz w:val="20"/>
        </w:rPr>
        <w:t xml:space="preserve"> Ingress payload properties (e.g., </w:t>
      </w:r>
      <w:r>
        <w:rPr>
          <w:rFonts w:ascii="Consolas" w:hAnsi="Consolas"/>
          <w:color w:val="B41E1E"/>
          <w:sz w:val="19"/>
        </w:rPr>
        <w:t>amount</w:t>
      </w:r>
      <w:r>
        <w:rPr>
          <w:rFonts w:ascii="Arial" w:hAnsi="Arial"/>
          <w:color w:val="374151"/>
          <w:sz w:val="20"/>
        </w:rPr>
        <w:t xml:space="preserve">, </w:t>
      </w:r>
      <w:r>
        <w:rPr>
          <w:rFonts w:ascii="Consolas" w:hAnsi="Consolas"/>
          <w:color w:val="B41E1E"/>
          <w:sz w:val="19"/>
        </w:rPr>
        <w:t>category_id</w:t>
      </w:r>
      <w:r>
        <w:rPr>
          <w:rFonts w:ascii="Arial" w:hAnsi="Arial"/>
          <w:color w:val="374151"/>
          <w:sz w:val="20"/>
        </w:rPr>
        <w:t xml:space="preserve">, </w:t>
      </w:r>
      <w:r>
        <w:rPr>
          <w:rFonts w:ascii="Consolas" w:hAnsi="Consolas"/>
          <w:color w:val="B41E1E"/>
          <w:sz w:val="19"/>
        </w:rPr>
        <w:t>target_date</w:t>
      </w:r>
      <w:r>
        <w:rPr>
          <w:rFonts w:ascii="Arial" w:hAnsi="Arial"/>
          <w:color w:val="374151"/>
          <w:sz w:val="20"/>
        </w:rPr>
        <w:t>) undergo cryptographic type enforcement before reaching the persistence layer.</w:t>
      </w:r>
    </w:p>
    <w:p>
      <w:pPr>
        <w:keepNext/>
        <w:spacing w:before="200" w:after="40"/>
      </w:pPr>
      <w:r>
        <w:rPr>
          <w:rFonts w:ascii="Arial" w:hAnsi="Arial"/>
          <w:b/>
          <w:color w:val="1F2937"/>
          <w:sz w:val="24"/>
        </w:rPr>
        <w:t>4.2 Cross-Origin Resource Sharing (CORS) &amp; Host Filtering</w:t>
      </w:r>
    </w:p>
    <w:p>
      <w:pPr>
        <w:spacing w:before="40" w:after="80" w:line="276" w:lineRule="auto"/>
      </w:pPr>
      <w:r>
        <w:rPr>
          <w:rFonts w:ascii="Arial" w:hAnsi="Arial"/>
          <w:color w:val="374151"/>
          <w:sz w:val="20"/>
        </w:rPr>
        <w:t>The FastAPI application strictly constrains accepted origins:</w:t>
      </w:r>
    </w:p>
    <w:p>
      <w:pPr>
        <w:pStyle w:val="ListBullet"/>
        <w:spacing w:before="20" w:after="40"/>
        <w:ind w:left="360"/>
      </w:pPr>
      <w:r>
        <w:rPr>
          <w:rFonts w:ascii="Arial" w:hAnsi="Arial"/>
          <w:color w:val="374151"/>
          <w:sz w:val="20"/>
        </w:rPr>
        <w:t xml:space="preserve">Permitted origins: </w:t>
      </w:r>
      <w:r>
        <w:rPr>
          <w:rFonts w:ascii="Consolas" w:hAnsi="Consolas"/>
          <w:color w:val="B41E1E"/>
          <w:sz w:val="19"/>
        </w:rPr>
        <w:t>["http://127.0.0.1:8000", "http://localhost:8000"]</w:t>
      </w:r>
    </w:p>
    <w:p>
      <w:pPr>
        <w:pStyle w:val="ListBullet"/>
        <w:spacing w:before="20" w:after="40"/>
        <w:ind w:left="360"/>
      </w:pPr>
      <w:r>
        <w:rPr>
          <w:rFonts w:ascii="Arial" w:hAnsi="Arial"/>
          <w:color w:val="374151"/>
          <w:sz w:val="20"/>
        </w:rPr>
        <w:t xml:space="preserve">Wildcard </w:t>
      </w:r>
      <w:r>
        <w:rPr>
          <w:rFonts w:ascii="Consolas" w:hAnsi="Consolas"/>
          <w:color w:val="B41E1E"/>
          <w:sz w:val="19"/>
        </w:rPr>
        <w:t>*</w:t>
      </w:r>
      <w:r>
        <w:rPr>
          <w:rFonts w:ascii="Arial" w:hAnsi="Arial"/>
          <w:color w:val="374151"/>
          <w:sz w:val="20"/>
        </w:rPr>
        <w:t xml:space="preserve"> origin access is completely disabled in production builds.</w:t>
      </w:r>
    </w:p>
    <w:p>
      <w:pPr>
        <w:spacing w:before="120" w:after="120"/>
        <w:pBdr>
          <w:bottom w:val="single" w:sz="6" w:space="1" w:color="E2E8F0"/>
        </w:pBdr>
      </w:pPr>
    </w:p>
    <w:p>
      <w:pPr>
        <w:keepNext/>
        <w:spacing w:before="280" w:after="80"/>
      </w:pPr>
      <w:r>
        <w:rPr>
          <w:rFonts w:ascii="Arial" w:hAnsi="Arial"/>
          <w:b/>
          <w:color w:val="0E7490"/>
          <w:sz w:val="30"/>
        </w:rPr>
        <w:t>5. Explainable AI (XAI) Governance &amp; Regulatory Compliance</w:t>
      </w:r>
    </w:p>
    <w:p>
      <w:pPr>
        <w:keepNext/>
        <w:spacing w:before="200" w:after="40"/>
      </w:pPr>
      <w:r>
        <w:rPr>
          <w:rFonts w:ascii="Arial" w:hAnsi="Arial"/>
          <w:b/>
          <w:color w:val="1F2937"/>
          <w:sz w:val="24"/>
        </w:rPr>
        <w:t>5.1 GDPR Article 22 (Automated Decision-Making &amp; Right to Explanation)</w:t>
      </w:r>
    </w:p>
    <w:p>
      <w:pPr>
        <w:spacing w:before="40" w:after="80" w:line="276" w:lineRule="auto"/>
      </w:pPr>
      <w:r>
        <w:rPr>
          <w:rFonts w:ascii="Arial" w:hAnsi="Arial"/>
          <w:color w:val="374151"/>
          <w:sz w:val="20"/>
        </w:rPr>
        <w:t>Under European and international privacy frameworks, individuals subjected to automated algorithmic assessments (such as financial stress scoring or credit-adjacent risk profiling) possess the legal right to receive meaningful information regarding the logic involved.</w:t>
      </w:r>
    </w:p>
    <w:p>
      <w:pPr>
        <w:pStyle w:val="ListBullet"/>
        <w:spacing w:before="20" w:after="40"/>
        <w:ind w:left="360"/>
      </w:pPr>
      <w:r>
        <w:rPr>
          <w:rFonts w:ascii="Arial" w:hAnsi="Arial"/>
          <w:b/>
          <w:color w:val="1F2937"/>
          <w:sz w:val="20"/>
        </w:rPr>
        <w:t>Compliant Implementation:</w:t>
      </w:r>
      <w:r>
        <w:rPr>
          <w:rFonts w:ascii="Arial" w:hAnsi="Arial"/>
          <w:color w:val="374151"/>
          <w:sz w:val="20"/>
        </w:rPr>
        <w:t xml:space="preserve"> The TreeSHAP engine computes exact additive Shapley values for all risk tier determinations. For every solvency assessment, the UI provides a transparent waterfall chart depicting the exact positive and negative drivers (e.g., </w:t>
      </w:r>
      <w:r>
        <w:rPr>
          <w:rFonts w:ascii="Arial" w:hAnsi="Arial"/>
          <w:i/>
          <w:color w:val="374151"/>
          <w:sz w:val="20"/>
        </w:rPr>
        <w:t>"+14 points due to 60-day cash buffer; -18 points due to discretionary spending spike"</w:t>
      </w:r>
      <w:r>
        <w:rPr>
          <w:rFonts w:ascii="Arial" w:hAnsi="Arial"/>
          <w:color w:val="374151"/>
          <w:sz w:val="20"/>
        </w:rPr>
        <w:t>).</w:t>
      </w:r>
    </w:p>
    <w:p>
      <w:pPr>
        <w:keepNext/>
        <w:spacing w:before="200" w:after="40"/>
      </w:pPr>
      <w:r>
        <w:rPr>
          <w:rFonts w:ascii="Arial" w:hAnsi="Arial"/>
          <w:b/>
          <w:color w:val="1F2937"/>
          <w:sz w:val="24"/>
        </w:rPr>
        <w:t>5.2 Algorithmic Recourse Integrity &amp; Non-Discriminatory Constraints</w:t>
      </w:r>
    </w:p>
    <w:p>
      <w:pPr>
        <w:spacing w:before="40" w:after="80" w:line="276" w:lineRule="auto"/>
      </w:pPr>
      <w:r>
        <w:rPr>
          <w:rFonts w:ascii="Arial" w:hAnsi="Arial"/>
          <w:color w:val="374151"/>
          <w:sz w:val="20"/>
        </w:rPr>
        <w:t>Automated recourse recommendations generated by the CFRO engine are subject to ethical constraints:</w:t>
      </w:r>
    </w:p>
    <w:p>
      <w:pPr>
        <w:pStyle w:val="ListBullet"/>
        <w:spacing w:before="20" w:after="40"/>
        <w:ind w:left="360"/>
      </w:pPr>
      <w:r>
        <w:rPr>
          <w:rFonts w:ascii="Arial" w:hAnsi="Arial"/>
          <w:b/>
          <w:color w:val="1F2937"/>
          <w:sz w:val="20"/>
        </w:rPr>
        <w:t>No Infeasible Hard Shocks:</w:t>
      </w:r>
      <w:r>
        <w:rPr>
          <w:rFonts w:ascii="Arial" w:hAnsi="Arial"/>
          <w:color w:val="374151"/>
          <w:sz w:val="20"/>
        </w:rPr>
        <w:t xml:space="preserve"> Essential expense floors (rent, utilities) cannot be manipulated by optimization routines to force mathematical convergence.</w:t>
      </w:r>
    </w:p>
    <w:p>
      <w:pPr>
        <w:pStyle w:val="ListBullet"/>
        <w:spacing w:before="20" w:after="40"/>
        <w:ind w:left="360"/>
      </w:pPr>
      <w:r>
        <w:rPr>
          <w:rFonts w:ascii="Arial" w:hAnsi="Arial"/>
          <w:b/>
          <w:color w:val="1F2937"/>
          <w:sz w:val="20"/>
        </w:rPr>
        <w:t>Predictable Monotonicity:</w:t>
      </w:r>
      <w:r>
        <w:rPr>
          <w:rFonts w:ascii="Arial" w:hAnsi="Arial"/>
          <w:color w:val="374151"/>
          <w:sz w:val="20"/>
        </w:rPr>
        <w:t xml:space="preserve"> Reducing discretionary spending must never result in a deteriorated solvency or feasibility score.</w:t>
      </w:r>
    </w:p>
    <w:p>
      <w:pPr>
        <w:pStyle w:val="ListBullet"/>
        <w:spacing w:before="20" w:after="40"/>
        <w:ind w:left="360"/>
      </w:pPr>
      <w:r>
        <w:rPr>
          <w:rFonts w:ascii="Arial" w:hAnsi="Arial"/>
          <w:b/>
          <w:color w:val="1F2937"/>
          <w:sz w:val="20"/>
        </w:rPr>
        <w:t>Perturbation Auditability:</w:t>
      </w:r>
      <w:r>
        <w:rPr>
          <w:rFonts w:ascii="Arial" w:hAnsi="Arial"/>
          <w:color w:val="374151"/>
          <w:sz w:val="20"/>
        </w:rPr>
        <w:t xml:space="preserve"> All model stability metrics (Kendall's $\tau$, Jaccard index) are exposed via </w:t>
      </w:r>
      <w:r>
        <w:rPr>
          <w:rFonts w:ascii="Consolas" w:hAnsi="Consolas"/>
          <w:color w:val="B41E1E"/>
          <w:sz w:val="19"/>
        </w:rPr>
        <w:t>/api/xai/stability-test</w:t>
      </w:r>
      <w:r>
        <w:rPr>
          <w:rFonts w:ascii="Arial" w:hAnsi="Arial"/>
          <w:color w:val="374151"/>
          <w:sz w:val="20"/>
        </w:rPr>
        <w:t xml:space="preserve"> for independent inspection.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