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20"/>
      </w:pPr>
      <w:r>
        <w:rPr>
          <w:rFonts w:ascii="Arial" w:hAnsi="Arial"/>
          <w:b/>
          <w:color w:val="1E3A8A"/>
          <w:sz w:val="40"/>
        </w:rPr>
        <w:t>Frontend UI/UX Specification &amp; Design Tokens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Project Name: EXT-093 FinGuard Assistant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Subtitle:</w:t>
      </w:r>
      <w:r>
        <w:rPr>
          <w:rFonts w:ascii="Arial" w:hAnsi="Arial"/>
          <w:color w:val="374151"/>
          <w:sz w:val="20"/>
        </w:rPr>
        <w:t xml:space="preserve"> Glassmorphic Interface Design, Visual Design Tokens, and Interactive HCI Workflows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Project Code:</w:t>
      </w:r>
      <w:r>
        <w:rPr>
          <w:rFonts w:ascii="Arial" w:hAnsi="Arial"/>
          <w:color w:val="374151"/>
          <w:sz w:val="20"/>
        </w:rPr>
        <w:t xml:space="preserve"> EXT-093 / Innotech-FinGuard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Document Version:</w:t>
      </w:r>
      <w:r>
        <w:rPr>
          <w:rFonts w:ascii="Arial" w:hAnsi="Arial"/>
          <w:color w:val="374151"/>
          <w:sz w:val="20"/>
        </w:rPr>
        <w:t xml:space="preserve"> 1.0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Target Milestone:</w:t>
      </w:r>
      <w:r>
        <w:rPr>
          <w:rFonts w:ascii="Arial" w:hAnsi="Arial"/>
          <w:color w:val="374151"/>
          <w:sz w:val="20"/>
        </w:rPr>
        <w:t xml:space="preserve"> Production MVP &amp; Core Engine Release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Status:</w:t>
      </w:r>
      <w:r>
        <w:rPr>
          <w:rFonts w:ascii="Arial" w:hAnsi="Arial"/>
          <w:color w:val="374151"/>
          <w:sz w:val="20"/>
        </w:rPr>
        <w:t xml:space="preserve"> Approved for Implementation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1. UI/UX Design Philosophy &amp; Technology Stack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 xml:space="preserve">The frontend interface of </w:t>
      </w:r>
      <w:r>
        <w:rPr>
          <w:rFonts w:ascii="Arial" w:hAnsi="Arial"/>
          <w:b/>
          <w:color w:val="1F2937"/>
          <w:sz w:val="20"/>
        </w:rPr>
        <w:t>EXT-093 FinGuard Assistant</w:t>
      </w:r>
      <w:r>
        <w:rPr>
          <w:rFonts w:ascii="Arial" w:hAnsi="Arial"/>
          <w:color w:val="374151"/>
          <w:sz w:val="20"/>
        </w:rPr>
        <w:t xml:space="preserve"> is engineered as a high-performance </w:t>
      </w:r>
      <w:r>
        <w:rPr>
          <w:rFonts w:ascii="Arial" w:hAnsi="Arial"/>
          <w:b/>
          <w:color w:val="1F2937"/>
          <w:sz w:val="20"/>
        </w:rPr>
        <w:t>Single Page Application (SPA)</w:t>
      </w:r>
      <w:r>
        <w:rPr>
          <w:rFonts w:ascii="Arial" w:hAnsi="Arial"/>
          <w:color w:val="374151"/>
          <w:sz w:val="20"/>
        </w:rPr>
        <w:t xml:space="preserve"> using </w:t>
      </w:r>
      <w:r>
        <w:rPr>
          <w:rFonts w:ascii="Arial" w:hAnsi="Arial"/>
          <w:b/>
          <w:color w:val="1F2937"/>
          <w:sz w:val="20"/>
        </w:rPr>
        <w:t>React 19, Vite, and Tailwind CSS v3.4</w:t>
      </w:r>
      <w:r>
        <w:rPr>
          <w:rFonts w:ascii="Arial" w:hAnsi="Arial"/>
          <w:color w:val="374151"/>
          <w:sz w:val="20"/>
        </w:rPr>
        <w:t>, directly mirroring the visual design, typography, spacing, and micro-interactions of the reference design specification (</w:t>
      </w:r>
      <w:r>
        <w:rPr>
          <w:rFonts w:ascii="Consolas" w:hAnsi="Consolas"/>
          <w:color w:val="B41E1E"/>
          <w:sz w:val="19"/>
        </w:rPr>
        <w:t>image.png</w:t>
      </w:r>
      <w:r>
        <w:rPr>
          <w:rFonts w:ascii="Arial" w:hAnsi="Arial"/>
          <w:color w:val="374151"/>
          <w:sz w:val="20"/>
        </w:rPr>
        <w:t xml:space="preserve">) with the colorway of </w:t>
      </w:r>
      <w:r>
        <w:rPr>
          <w:rFonts w:ascii="Consolas" w:hAnsi="Consolas"/>
          <w:color w:val="B41E1E"/>
          <w:sz w:val="19"/>
        </w:rPr>
        <w:t>image copy.png</w:t>
      </w:r>
      <w:r>
        <w:rPr>
          <w:rFonts w:ascii="Arial" w:hAnsi="Arial"/>
          <w:color w:val="374151"/>
          <w:sz w:val="20"/>
        </w:rPr>
        <w:t>.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Key technology foundations: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Core Framework:</w:t>
      </w:r>
      <w:r>
        <w:rPr>
          <w:rFonts w:ascii="Arial" w:hAnsi="Arial"/>
          <w:color w:val="374151"/>
          <w:sz w:val="20"/>
        </w:rPr>
        <w:t xml:space="preserve"> React 19 + Vite (instant HMR, sub-15ms dev rebuilds, 296 kB production bundle).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Styling Engine:</w:t>
      </w:r>
      <w:r>
        <w:rPr>
          <w:rFonts w:ascii="Arial" w:hAnsi="Arial"/>
          <w:color w:val="374151"/>
          <w:sz w:val="20"/>
        </w:rPr>
        <w:t xml:space="preserve"> Tailwind CSS with custom dark tokens (</w:t>
      </w:r>
      <w:r>
        <w:rPr>
          <w:rFonts w:ascii="Consolas" w:hAnsi="Consolas"/>
          <w:color w:val="B41E1E"/>
          <w:sz w:val="19"/>
        </w:rPr>
        <w:t>#0D0F12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#111216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#17191E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#1C1E24</w:t>
      </w:r>
      <w:r>
        <w:rPr>
          <w:rFonts w:ascii="Arial" w:hAnsi="Arial"/>
          <w:color w:val="374151"/>
          <w:sz w:val="20"/>
        </w:rPr>
        <w:t>) and hardware-accelerated animations.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Component Architecture: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src/components/Sidebar.jsx</w:t>
      </w:r>
      <w:r>
        <w:rPr>
          <w:rFonts w:ascii="Arial" w:hAnsi="Arial"/>
          <w:color w:val="374151"/>
          <w:sz w:val="20"/>
        </w:rPr>
        <w:t>: Navigation, search box (</w:t>
      </w:r>
      <w:r>
        <w:rPr>
          <w:rFonts w:ascii="Consolas" w:hAnsi="Consolas"/>
          <w:color w:val="B41E1E"/>
          <w:sz w:val="19"/>
        </w:rPr>
        <w:t>⌘K</w:t>
      </w:r>
      <w:r>
        <w:rPr>
          <w:rFonts w:ascii="Arial" w:hAnsi="Arial"/>
          <w:color w:val="374151"/>
          <w:sz w:val="20"/>
        </w:rPr>
        <w:t>), feature badges, and Zero-Knowledge verification card.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src/components/Header.jsx</w:t>
      </w:r>
      <w:r>
        <w:rPr>
          <w:rFonts w:ascii="Arial" w:hAnsi="Arial"/>
          <w:color w:val="374151"/>
          <w:sz w:val="20"/>
        </w:rPr>
        <w:t>: Breadcrumbs, persona switcher, notification icons, and quick action buttons.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src/components/Overview.jsx</w:t>
      </w:r>
      <w:r>
        <w:rPr>
          <w:rFonts w:ascii="Arial" w:hAnsi="Arial"/>
          <w:color w:val="374151"/>
          <w:sz w:val="20"/>
        </w:rPr>
        <w:t>: 3-card metric hero row, 2×2 wallet grid, interactive bar flow chart with floating tooltips, and recent activities table.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src/components/ForecastView.jsx</w:t>
      </w:r>
      <w:r>
        <w:rPr>
          <w:rFonts w:ascii="Arial" w:hAnsi="Arial"/>
          <w:color w:val="374151"/>
          <w:sz w:val="20"/>
        </w:rPr>
        <w:t>: Conformal Quantile Regression (CQR) fan chart with 90% confidence bands.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src/components/GoalsView.jsx</w:t>
      </w:r>
      <w:r>
        <w:rPr>
          <w:rFonts w:ascii="Arial" w:hAnsi="Arial"/>
          <w:color w:val="374151"/>
          <w:sz w:val="20"/>
        </w:rPr>
        <w:t>: Goal progress gauge + 3 Pareto-optimal CFRO recourse profiles.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src/components/SimulatorView.jsx</w:t>
      </w:r>
      <w:r>
        <w:rPr>
          <w:rFonts w:ascii="Arial" w:hAnsi="Arial"/>
          <w:color w:val="374151"/>
          <w:sz w:val="20"/>
        </w:rPr>
        <w:t>: What-If interactive sliders with live debounced impact recalculation.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src/components/XaiView.jsx</w:t>
      </w:r>
      <w:r>
        <w:rPr>
          <w:rFonts w:ascii="Arial" w:hAnsi="Arial"/>
          <w:color w:val="374151"/>
          <w:sz w:val="20"/>
        </w:rPr>
        <w:t>: TreeSHAP waterfall feature contributions and perturbation stability tests.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B41E1E"/>
          <w:sz w:val="19"/>
        </w:rPr>
        <w:t>src/components/CategoryOverrideModal.jsx</w:t>
      </w:r>
      <w:r>
        <w:rPr>
          <w:rFonts w:ascii="Arial" w:hAnsi="Arial"/>
          <w:color w:val="374151"/>
          <w:sz w:val="20"/>
        </w:rPr>
        <w:t>: 1-click human-in-the-loop category reclassification modal.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Iconography:</w:t>
      </w:r>
      <w:r>
        <w:rPr>
          <w:rFonts w:ascii="Arial" w:hAnsi="Arial"/>
          <w:color w:val="374151"/>
          <w:sz w:val="20"/>
        </w:rPr>
        <w:t xml:space="preserve"> Lucide React icons.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Zero Cognitive Fatigue:</w:t>
      </w:r>
      <w:r>
        <w:rPr>
          <w:rFonts w:ascii="Arial" w:hAnsi="Arial"/>
          <w:color w:val="374151"/>
          <w:sz w:val="20"/>
        </w:rPr>
        <w:t xml:space="preserve"> Deep obsidian surfaces, subtle frosted borders, high-contrast typography, and zero continuous CPU loop rendering.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2. Design System &amp; CSS Token Specifications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The UI is implemented in vanilla CSS3 using standardized custom properties (CSS variables) to ensure unified theming, rapid maintainability, and zero runtime bundler overhead.</w:t>
      </w:r>
    </w:p>
    <w:p>
      <w:pPr>
        <w:spacing w:before="120" w:after="120"/>
        <w:ind w:left="288" w:right="288"/>
        <w:shd w:fill="F1F5F9"/>
      </w:pPr>
      <w:r>
        <w:rPr>
          <w:rFonts w:ascii="Consolas" w:hAnsi="Consolas"/>
          <w:color w:val="1E293B"/>
          <w:sz w:val="18"/>
        </w:rPr>
        <w:t>:root {</w:t>
        <w:br/>
        <w:t xml:space="preserve">  /* Color Palette - Core System */</w:t>
        <w:br/>
        <w:t xml:space="preserve">  --bg-primary: #0b0f19;          /* Deep Obsidian Void */</w:t>
        <w:br/>
        <w:t xml:space="preserve">  --bg-secondary: #111827;        /* Rich Slate Base */</w:t>
        <w:br/>
        <w:t xml:space="preserve">  --bg-card: rgba(17, 24, 39, 0.75); /* Frosted Glass Layer */</w:t>
        <w:br/>
        <w:t xml:space="preserve">  --border-glass: rgba(255, 255, 255, 0.08); /* Specular Edge Highlight */</w:t>
        <w:br/>
        <w:t xml:space="preserve">  </w:t>
        <w:br/>
        <w:t xml:space="preserve">  /* Text &amp; Contrast Tokens */</w:t>
        <w:br/>
        <w:t xml:space="preserve">  --text-primary: #f9fafb;        /* High-Contrast Crisp White */</w:t>
        <w:br/>
        <w:t xml:space="preserve">  --text-secondary: #9ca3af;      /* Muted Steel Gray */</w:t>
        <w:br/>
        <w:t xml:space="preserve">  --text-tertiary: #6b7280;       /* Subdued Slate */</w:t>
        <w:br/>
        <w:t xml:space="preserve">  </w:t>
        <w:br/>
        <w:t xml:space="preserve">  /* Accent &amp; State Tokens */</w:t>
        <w:br/>
        <w:t xml:space="preserve">  --accent-cyan: #06b6d4;         /* Electric Cyan (Forecasting / Median) */</w:t>
        <w:br/>
        <w:t xml:space="preserve">  --accent-blue: #3b82f6;         /* Primary Brand Blue */</w:t>
        <w:br/>
        <w:t xml:space="preserve">  --accent-purple: #8b5cf6;       /* Recourse &amp; Optimizer Highlights */</w:t>
        <w:br/>
        <w:t xml:space="preserve">  --status-success: #10b981;      /* Emerald Green (Solvent / Safe) */</w:t>
        <w:br/>
        <w:t xml:space="preserve">  --status-warning: #f59e0b;      /* Warm Amber (Moderate Uncertainty) */</w:t>
        <w:br/>
        <w:t xml:space="preserve">  --status-danger: #ef4444;       /* Crimson Red (Liquidity Shortfall / Risk) */</w:t>
        <w:br/>
        <w:t xml:space="preserve">  </w:t>
        <w:br/>
        <w:t xml:space="preserve">  /* Typography &amp; Layout Spacing */</w:t>
        <w:br/>
        <w:t xml:space="preserve">  --font-family: 'Inter', -apple-system, BlinkMacSystemFont, sans-serif;</w:t>
        <w:br/>
        <w:t xml:space="preserve">  --radius-sm: 8px;</w:t>
        <w:br/>
        <w:t xml:space="preserve">  --radius-md: 14px;</w:t>
        <w:br/>
        <w:t xml:space="preserve">  --radius-lg: 20px;</w:t>
        <w:br/>
        <w:t xml:space="preserve">  --shadow-elevation: 0 10px 25px -5px rgba(0, 0, 0, 0.5), 0 8px 10px -6px rgba(0, 0, 0, 0.5);</w:t>
        <w:br/>
        <w:t>}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3. Global Layout Architecture &amp; App Shell</w:t>
      </w:r>
    </w:p>
    <w:p>
      <w:pPr>
        <w:spacing w:before="120" w:after="120"/>
        <w:ind w:left="288" w:right="288"/>
        <w:shd w:fill="F1F5F9"/>
      </w:pPr>
      <w:r>
        <w:rPr>
          <w:rFonts w:ascii="Consolas" w:hAnsi="Consolas"/>
          <w:color w:val="1E293B"/>
          <w:sz w:val="18"/>
        </w:rPr>
        <w:t>+-----------------------------------------------------------------------------------+</w:t>
        <w:br/>
        <w:t>|  [ TOP APPLICATION HEADER ]                                                       |</w:t>
        <w:br/>
        <w:t>|  - Brand Badge: [EXT-093] | Title: Personal Finance Risk &amp; Goal Planning Assistant|</w:t>
        <w:br/>
        <w:t>|  - Interactive Persona Selector: [Salaried Tech Pro | Volatile Freelancer | Student]|</w:t>
        <w:br/>
        <w:t>|  - Security Pill: [Local-First / Zero Cloud Storage (Verified)]                   |</w:t>
        <w:br/>
        <w:t>+-----------------------------------------------------------------------------------+</w:t>
        <w:br/>
        <w:t>|  [ SIDEBAR NAV ]    |  [ MAIN CONTENT CONTAINER ]                                 |</w:t>
        <w:br/>
        <w:t>|  - Overview         |  (Dynamically rendered interactive tab panels)              |</w:t>
        <w:br/>
        <w:t>|  - Cash-Flow        |                                                             |</w:t>
        <w:br/>
        <w:t>|  - Goals &amp; Recourse |  Active Viewport Content:                                   |</w:t>
        <w:br/>
        <w:t>|  - What-If Sim      |  - Metric KPI Grids &amp; Stat Cards                            |</w:t>
        <w:br/>
        <w:t>|  - Transactions     |  - High-Resolution Canvas Charts (Chart.js)                 |</w:t>
        <w:br/>
        <w:t>|  - Explainability   |  - Reactive Recourse Profiles &amp; Action Buttons              |</w:t>
        <w:br/>
        <w:t>+---------------------+-------------------------------------------------------------+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4. Component Specifications across 6 Core Tabs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4.1 Tab 1: Overview &amp; Solvency Dashboard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Solvency Score Gauge:</w:t>
      </w:r>
      <w:r>
        <w:rPr>
          <w:rFonts w:ascii="Arial" w:hAnsi="Arial"/>
          <w:color w:val="374151"/>
          <w:sz w:val="20"/>
        </w:rPr>
        <w:t xml:space="preserve"> Circular progress visual ($0 - 100$) dynamically colored according to risk bracket (Emerald: $75+$, Amber: $50-74$, Red: $&lt;50$).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Runway Days Counter:</w:t>
      </w:r>
      <w:r>
        <w:rPr>
          <w:rFonts w:ascii="Arial" w:hAnsi="Arial"/>
          <w:color w:val="374151"/>
          <w:sz w:val="20"/>
        </w:rPr>
        <w:t xml:space="preserve"> Real-time liquidity exhaustion estimate based on current cash burn rate.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Balance Sheet Summary Cards:</w:t>
      </w:r>
      <w:r>
        <w:rPr>
          <w:rFonts w:ascii="Arial" w:hAnsi="Arial"/>
          <w:color w:val="374151"/>
          <w:sz w:val="20"/>
        </w:rPr>
        <w:t xml:space="preserve"> Total Liquid Cash, Monthly Discretionary Outflow, and 30-Day Net Inflow.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Key Risk Drivers Card:</w:t>
      </w:r>
      <w:r>
        <w:rPr>
          <w:rFonts w:ascii="Arial" w:hAnsi="Arial"/>
          <w:color w:val="374151"/>
          <w:sz w:val="20"/>
        </w:rPr>
        <w:t xml:space="preserve"> Highlights top 3 algorithmic vulnerabilities (e.g., </w:t>
      </w:r>
      <w:r>
        <w:rPr>
          <w:rFonts w:ascii="Arial" w:hAnsi="Arial"/>
          <w:i/>
          <w:color w:val="374151"/>
          <w:sz w:val="20"/>
        </w:rPr>
        <w:t>"Elevated dining volatility"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Arial" w:hAnsi="Arial"/>
          <w:i/>
          <w:color w:val="374151"/>
          <w:sz w:val="20"/>
        </w:rPr>
        <w:t>"Upcoming quarterly tax liability"</w:t>
      </w:r>
      <w:r>
        <w:rPr>
          <w:rFonts w:ascii="Arial" w:hAnsi="Arial"/>
          <w:color w:val="374151"/>
          <w:sz w:val="20"/>
        </w:rPr>
        <w:t>).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4.2 Tab 2: Cash-Flow Forecast (CQR Conformal Fan Charts)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Time-Horizon Switcher:</w:t>
      </w:r>
      <w:r>
        <w:rPr>
          <w:rFonts w:ascii="Arial" w:hAnsi="Arial"/>
          <w:color w:val="374151"/>
          <w:sz w:val="20"/>
        </w:rPr>
        <w:t xml:space="preserve"> Segmented control for 30-day, 60-day, and 90-day predictive windows.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Conformal Fan Visualization: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color w:val="1F2937"/>
          <w:sz w:val="20"/>
        </w:rPr>
        <w:t>Upper Bound ($q_{90}$):</w:t>
      </w:r>
      <w:r>
        <w:rPr>
          <w:rFonts w:ascii="Arial" w:hAnsi="Arial"/>
          <w:color w:val="374151"/>
          <w:sz w:val="20"/>
        </w:rPr>
        <w:t xml:space="preserve"> Semi-transparent cyan fill representing best-case balance trajectory.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color w:val="1F2937"/>
          <w:sz w:val="20"/>
        </w:rPr>
        <w:t>Median ($q_{50}$):</w:t>
      </w:r>
      <w:r>
        <w:rPr>
          <w:rFonts w:ascii="Arial" w:hAnsi="Arial"/>
          <w:color w:val="374151"/>
          <w:sz w:val="20"/>
        </w:rPr>
        <w:t xml:space="preserve"> Solid electric cyan line displaying expected balance trajectory.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color w:val="1F2937"/>
          <w:sz w:val="20"/>
        </w:rPr>
        <w:t>Worst-Case ($q_{10}$):</w:t>
      </w:r>
      <w:r>
        <w:rPr>
          <w:rFonts w:ascii="Arial" w:hAnsi="Arial"/>
          <w:color w:val="374151"/>
          <w:sz w:val="20"/>
        </w:rPr>
        <w:t xml:space="preserve"> Semi-transparent crimson/amber fill displaying lower 10th percentile safety floor.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Shortfall Alert Banner:</w:t>
      </w:r>
      <w:r>
        <w:rPr>
          <w:rFonts w:ascii="Arial" w:hAnsi="Arial"/>
          <w:color w:val="374151"/>
          <w:sz w:val="20"/>
        </w:rPr>
        <w:t xml:space="preserve"> Conditional banner triggered automatically whenever $\min(q_{10}) \le \$0.00$, warning user of imminent deficit risk with exact predicted date.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4.3 Tab 3: Goals &amp; Constrained Recourse (CFRO)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Goal Overview Card:</w:t>
      </w:r>
      <w:r>
        <w:rPr>
          <w:rFonts w:ascii="Arial" w:hAnsi="Arial"/>
          <w:color w:val="374151"/>
          <w:sz w:val="20"/>
        </w:rPr>
        <w:t xml:space="preserve"> Displays goal title, target dollar milestone, accumulated savings, and estimated progress percentage.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Feasibility Meter:</w:t>
      </w:r>
      <w:r>
        <w:rPr>
          <w:rFonts w:ascii="Arial" w:hAnsi="Arial"/>
          <w:color w:val="374151"/>
          <w:sz w:val="20"/>
        </w:rPr>
        <w:t xml:space="preserve"> Probabilistic Monte Carlo feasibility score ($\ge 80\%$ required for sustainable attainment).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3-Column Recourse Cards: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color w:val="1F2937"/>
          <w:sz w:val="20"/>
        </w:rPr>
        <w:t>Profile A (Balanced Recourse):</w:t>
      </w:r>
      <w:r>
        <w:rPr>
          <w:rFonts w:ascii="Arial" w:hAnsi="Arial"/>
          <w:color w:val="374151"/>
          <w:sz w:val="20"/>
        </w:rPr>
        <w:t xml:space="preserve"> Low-friction across-the-board trims.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color w:val="1F2937"/>
          <w:sz w:val="20"/>
        </w:rPr>
        <w:t>Profile B (Aggressive Cut):</w:t>
      </w:r>
      <w:r>
        <w:rPr>
          <w:rFonts w:ascii="Arial" w:hAnsi="Arial"/>
          <w:color w:val="374151"/>
          <w:sz w:val="20"/>
        </w:rPr>
        <w:t xml:space="preserve"> High-impact discretionary austerity.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b/>
          <w:color w:val="1F2937"/>
          <w:sz w:val="20"/>
        </w:rPr>
        <w:t>Profile C (Horizon Extension):</w:t>
      </w:r>
      <w:r>
        <w:rPr>
          <w:rFonts w:ascii="Arial" w:hAnsi="Arial"/>
          <w:color w:val="374151"/>
          <w:sz w:val="20"/>
        </w:rPr>
        <w:t xml:space="preserve"> Extended calendar timeline with existing monthly spend.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1-Click Apply Recourse Button:</w:t>
      </w:r>
      <w:r>
        <w:rPr>
          <w:rFonts w:ascii="Arial" w:hAnsi="Arial"/>
          <w:color w:val="374151"/>
          <w:sz w:val="20"/>
        </w:rPr>
        <w:t xml:space="preserve"> Commits chosen profile to local database budget constraints.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4.4 Tab 4: Interactive What-If Scenario Simulator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Emergency Expense Slider:</w:t>
      </w:r>
      <w:r>
        <w:rPr>
          <w:rFonts w:ascii="Arial" w:hAnsi="Arial"/>
          <w:color w:val="374151"/>
          <w:sz w:val="20"/>
        </w:rPr>
        <w:t xml:space="preserve"> Sliders ranging from $\$0$ to $\$5,000$ to simulate sudden car/medical repairs.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Income Shock Slider:</w:t>
      </w:r>
      <w:r>
        <w:rPr>
          <w:rFonts w:ascii="Arial" w:hAnsi="Arial"/>
          <w:color w:val="374151"/>
          <w:sz w:val="20"/>
        </w:rPr>
        <w:t xml:space="preserve"> Sliders ranging from $-50\%$ to $+50\%$ to simulate freelance contract dropouts or overtime bonuses.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Live Re-calculation:</w:t>
      </w:r>
      <w:r>
        <w:rPr>
          <w:rFonts w:ascii="Arial" w:hAnsi="Arial"/>
          <w:color w:val="374151"/>
          <w:sz w:val="20"/>
        </w:rPr>
        <w:t xml:space="preserve"> Instantly recomputes Solvency Score, Runway Days, and Goal Feasibility without database mutations.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4.5 Tab 5: Transaction Ledger &amp; Human-in-the-Loop Override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Data Grid:</w:t>
      </w:r>
      <w:r>
        <w:rPr>
          <w:rFonts w:ascii="Arial" w:hAnsi="Arial"/>
          <w:color w:val="374151"/>
          <w:sz w:val="20"/>
        </w:rPr>
        <w:t xml:space="preserve"> Sortable table displaying date, merchant description, account, amount, category badge, and AI confidence score.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Category Badge Styler:</w:t>
      </w:r>
      <w:r>
        <w:rPr>
          <w:rFonts w:ascii="Arial" w:hAnsi="Arial"/>
          <w:color w:val="374151"/>
          <w:sz w:val="20"/>
        </w:rPr>
        <w:t xml:space="preserve"> Distinct color tokens for Essential (Indigo) vs. Discretionary (Teal).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1-Click Override Modal:</w:t>
      </w:r>
      <w:r>
        <w:rPr>
          <w:rFonts w:ascii="Arial" w:hAnsi="Arial"/>
          <w:color w:val="374151"/>
          <w:sz w:val="20"/>
        </w:rPr>
        <w:t xml:space="preserve"> Allows user to click any miscategorized transaction and instantly reassign it, automatically recording an entry in </w:t>
      </w:r>
      <w:r>
        <w:rPr>
          <w:rFonts w:ascii="Consolas" w:hAnsi="Consolas"/>
          <w:color w:val="B41E1E"/>
          <w:sz w:val="19"/>
        </w:rPr>
        <w:t>audit_logs</w:t>
      </w:r>
      <w:r>
        <w:rPr>
          <w:rFonts w:ascii="Arial" w:hAnsi="Arial"/>
          <w:color w:val="374151"/>
          <w:sz w:val="20"/>
        </w:rPr>
        <w:t>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4.6 Tab 6: Explainability &amp; Stability (XAI)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TreeSHAP Feature Waterfall:</w:t>
      </w:r>
      <w:r>
        <w:rPr>
          <w:rFonts w:ascii="Arial" w:hAnsi="Arial"/>
          <w:color w:val="374151"/>
          <w:sz w:val="20"/>
        </w:rPr>
        <w:t xml:space="preserve"> Horizontal bar chart illustrating positive and negative feature weights on the solvency prediction.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Perturbation Stability Runner:</w:t>
      </w:r>
      <w:r>
        <w:rPr>
          <w:rFonts w:ascii="Arial" w:hAnsi="Arial"/>
          <w:color w:val="374151"/>
          <w:sz w:val="20"/>
        </w:rPr>
        <w:t xml:space="preserve"> Interactive test button injecting $5\%-10\%$ synthetic noise into financial vectors and verifying Kendall's $\tau$ rank correlation in real 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