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120"/>
      </w:pPr>
      <w:r>
        <w:rPr>
          <w:rFonts w:ascii="Arial" w:hAnsi="Arial"/>
          <w:b/>
          <w:color w:val="1E3A8A"/>
          <w:sz w:val="40"/>
        </w:rPr>
        <w:t>Feature Ticket List &amp; Sprint Breakdown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Project Name: EXT-093 FinGuard Assistant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Subtitle:</w:t>
      </w:r>
      <w:r>
        <w:rPr>
          <w:rFonts w:ascii="Arial" w:hAnsi="Arial"/>
          <w:color w:val="374151"/>
          <w:sz w:val="20"/>
        </w:rPr>
        <w:t xml:space="preserve"> Engineering Tickets, Acceptance Criteria, and 7-Day Implementation Roadmap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Project Code:</w:t>
      </w:r>
      <w:r>
        <w:rPr>
          <w:rFonts w:ascii="Arial" w:hAnsi="Arial"/>
          <w:color w:val="374151"/>
          <w:sz w:val="20"/>
        </w:rPr>
        <w:t xml:space="preserve"> EXT-093 / Innotech-FinGuard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Document Version:</w:t>
      </w:r>
      <w:r>
        <w:rPr>
          <w:rFonts w:ascii="Arial" w:hAnsi="Arial"/>
          <w:color w:val="374151"/>
          <w:sz w:val="20"/>
        </w:rPr>
        <w:t xml:space="preserve"> 1.0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Target Milestone:</w:t>
      </w:r>
      <w:r>
        <w:rPr>
          <w:rFonts w:ascii="Arial" w:hAnsi="Arial"/>
          <w:color w:val="374151"/>
          <w:sz w:val="20"/>
        </w:rPr>
        <w:t xml:space="preserve"> Production MVP &amp; Core Engine Release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Status:</w:t>
      </w:r>
      <w:r>
        <w:rPr>
          <w:rFonts w:ascii="Arial" w:hAnsi="Arial"/>
          <w:color w:val="374151"/>
          <w:sz w:val="20"/>
        </w:rPr>
        <w:t xml:space="preserve"> Approved for Implementation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1. Feature Epics Overview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 xml:space="preserve">The development of </w:t>
      </w:r>
      <w:r>
        <w:rPr>
          <w:rFonts w:ascii="Arial" w:hAnsi="Arial"/>
          <w:b/>
          <w:color w:val="1F2937"/>
          <w:sz w:val="20"/>
        </w:rPr>
        <w:t>EXT-093 FinGuard Assistant</w:t>
      </w:r>
      <w:r>
        <w:rPr>
          <w:rFonts w:ascii="Arial" w:hAnsi="Arial"/>
          <w:color w:val="374151"/>
          <w:sz w:val="20"/>
        </w:rPr>
        <w:t xml:space="preserve"> is segmented into six core engineering epics, designed for parallel execution across a 3-person engineering team: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Epic ID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Epic Title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Focus Area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Primary Tech Stack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EPIC-1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Data Engine &amp; Local Ledger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SQLite schema, SimFin synthetic benchmark, statement parsing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SQLite, SQLAlchemy, Pydantic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EPIC-2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ML &amp; Conformal Forecasting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Platt-calibrated categorizer, CQR quantile forecasting (q10/q50/q90)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Scikit-learn, LightGBM, NumPy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EPIC-3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Stress &amp; Recourse Engine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ECE-calibrated solvency scoring, CFRO constrained optimizer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SciPy Optimize, NumPy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EPIC-4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Explainability &amp; Stability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TreeSHAP feature attribution, Kendall's tau perturbation tester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SHAP, SciPy Stats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EPIC-5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Glassmorphic UI &amp; HCI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Vanilla CSS tokens, Chart.js fan charts, reactive sliders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Modern Vanilla JS, CSS3, HTML5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EPIC-6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Integration &amp; Verification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Automated REST test suite, cross-persona validation, audit logs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HTTPX, Pytest, Uvicorn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2. Granular Feature Ticket Breakdown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EPIC-1: Data Engine &amp; Local Ledger Persistence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TKT-101: SQLite Relational Schema &amp; ORM Initialization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Critical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3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1 (Backend)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Initialize local SQLite database with normalized schema for accounts, transactions, categories, goals, budget rules, and audit logs.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Foreign key cascading constraints enabled (</w:t>
      </w:r>
      <w:r>
        <w:rPr>
          <w:rFonts w:ascii="Consolas" w:hAnsi="Consolas"/>
          <w:color w:val="B41E1E"/>
          <w:sz w:val="19"/>
        </w:rPr>
        <w:t>PRAGMA foreign_keys = ON;</w:t>
      </w:r>
      <w:r>
        <w:rPr>
          <w:rFonts w:ascii="Arial" w:hAnsi="Arial"/>
          <w:color w:val="374151"/>
          <w:sz w:val="20"/>
        </w:rPr>
        <w:t>).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 xml:space="preserve">Indexing applied on </w:t>
      </w:r>
      <w:r>
        <w:rPr>
          <w:rFonts w:ascii="Consolas" w:hAnsi="Consolas"/>
          <w:color w:val="B41E1E"/>
          <w:sz w:val="19"/>
        </w:rPr>
        <w:t>transaction.date</w:t>
      </w:r>
      <w:r>
        <w:rPr>
          <w:rFonts w:ascii="Arial" w:hAnsi="Arial"/>
          <w:color w:val="374151"/>
          <w:sz w:val="20"/>
        </w:rPr>
        <w:t xml:space="preserve"> and </w:t>
      </w:r>
      <w:r>
        <w:rPr>
          <w:rFonts w:ascii="Consolas" w:hAnsi="Consolas"/>
          <w:color w:val="B41E1E"/>
          <w:sz w:val="19"/>
        </w:rPr>
        <w:t>transaction.category_id</w:t>
      </w:r>
      <w:r>
        <w:rPr>
          <w:rFonts w:ascii="Arial" w:hAnsi="Arial"/>
          <w:color w:val="374151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Passing automated schema migration and teardown unit tests.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TKT-102: Synthetic Data Generator (`SimFinEngine`)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High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5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1 (Backend)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Build generator producing 12 months of realistic synthetic financial transactions for 3 user personas (Salaried, Freelancer, Student).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Accurately models payroll schedules, bi-weekly volatility, and seasonal expenditure spikes.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Generates over $1,500$ normalized ledger rows with realistic merchant naming tokens.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EPIC-2: ML &amp; Conformal Cash-Flow Forecasting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TKT-201: Tiered Transaction Categorizer with Platt Calibration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High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5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2 (ML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Develop two-tier classification pipeline combining deterministic regex rules with TF-IDF calibrated Logistic Regression.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Sub-5ms inference latency per transaction.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Platt calibration produces realistic epistemic confidence scores ($0.0 - 1.0$).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Classification accuracy $\ge 92\%$ on benchmark transaction corpus.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TKT-202: Conformal Quantile Regression (CQR) Engine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Critical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8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2 (ML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Implement multi-horizon (30/60/90 days) cash-flow forecasting producing 10th, 50th, and 90th percentile bounds with conformal coverage calibration.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Conformal calibration guarantees $\ge 80\%$ empirical coverage on test splits.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Flags liquidity shortfall warnings when lower bound $q_{10} \le \$0.00$.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EPIC-3: Solvency Stress &amp; Recourse Optimization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TKT-301: Solvency Stress &amp; Expected Calibration Error (ECE) Model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High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5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2 (ML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Build financial stress classifier computing Solvency Score ($0 - 100$), Runway Days, and Risk Tier (Low/Moderate/Critical).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ECE error optimized to $\le 0.04$ against historical insolvency indicators.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Emits selective abstention signal when confidence falls below certainty threshold.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TKT-302: Constrained Financial Recourse Optimizer (CFRO)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Critical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8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2 (ML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Formulate goal feasibility as a constrained optimization problem, yielding 3 actionable Pareto-optimal recourse profiles.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Profile A (Balanced), Profile B (Aggressive), and Profile C (Horizon Extension) generated in $&lt;100\text{ ms}$.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Strict mathematical invariance enforced for essential spending categories (rent, utilities).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EPIC-4: Explainability &amp; Perturbation Stability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TKT-401: Exact TreeSHAP Attribution Pipeline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High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5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2 (ML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Compute exact additive feature contributions for every solvency risk assessment.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Outputs signed feature importance scores for top financial indicators.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Perfectly satisfies local accuracy and additivity efficiency properties.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TKT-402: Adversarial Perturbation Stability Engine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Medium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3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2 (ML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Implement stability verification injecting $5\%-10\%$ synthetic Gaussian noise into feature vectors and calculating Kendall's $\tau$.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Kendall's $\tau \ge 0.85$ under $5\%$ noise.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Top-3 feature Jaccard similarity index $\ge 0.75$.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EPIC-5: Glassmorphic UI &amp; Interactive HCI Workflows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TKT-501: Design Token System &amp; Glassmorphic Shell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High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5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3 (Frontend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Implement pure CSS3 design token system, frosted glass components, responsive typography, and layout shell.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Zero external CSS frameworks (clean Vanilla CSS architecture).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High-contrast accessibility compliance across light and dark tokens.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TKT-502: Real-Time Uncertainty Fan Charts (Chart.js)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Critical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5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3 (Frontend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Integrate responsive canvas fan charts displaying $q_{10}, q_{50}, q_{90}$ forecast bands with liquidity shortfall highlight regions.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Smooth animation transitions between 30, 60, and 90-day time horizons.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Accessible tooltip inspectors showing exact confidence intervals on hover.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TKT-503: Interactive What-If Scenario Simulator &amp; Recourse Cards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High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5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3 (Frontend Lead)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Build reactive slider controls for expense/income shocks and 3-column recourse action cards.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Sub-50ms client-side recomputation as sliders are manipulated.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1-click recourse profile application updating local budget targets.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EPIC-6: Integration, E2E Testing &amp; Audit Verification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TKT-601: Automated REST API Verification Suite (`test_api.py`)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High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3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1 (Backend)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Develop comprehensive integration test suite verifying all REST endpoints and data contracts.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 xml:space="preserve">End-to-end verification of </w:t>
      </w:r>
      <w:r>
        <w:rPr>
          <w:rFonts w:ascii="Consolas" w:hAnsi="Consolas"/>
          <w:color w:val="B41E1E"/>
          <w:sz w:val="19"/>
        </w:rPr>
        <w:t>/api/health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/api/accounts/summary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/api/forecast/cashflow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/api/risk/stress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/api/goals</w:t>
      </w:r>
      <w:r>
        <w:rPr>
          <w:rFonts w:ascii="Arial" w:hAnsi="Arial"/>
          <w:color w:val="374151"/>
          <w:sz w:val="20"/>
        </w:rPr>
        <w:t xml:space="preserve">, and </w:t>
      </w:r>
      <w:r>
        <w:rPr>
          <w:rFonts w:ascii="Consolas" w:hAnsi="Consolas"/>
          <w:color w:val="B41E1E"/>
          <w:sz w:val="19"/>
        </w:rPr>
        <w:t>/api/xai/stability-test</w:t>
      </w:r>
      <w:r>
        <w:rPr>
          <w:rFonts w:ascii="Arial" w:hAnsi="Arial"/>
          <w:color w:val="374151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Zero failed assertions across full test suite execution.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2"/>
        </w:rPr>
        <w:t>Ticket TKT-602: Human-in-the-Loop Override &amp; Audit Trail Logging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Priority:</w:t>
      </w:r>
      <w:r>
        <w:rPr>
          <w:rFonts w:ascii="Arial" w:hAnsi="Arial"/>
          <w:color w:val="374151"/>
          <w:sz w:val="20"/>
        </w:rPr>
        <w:t xml:space="preserve"> Medium | </w:t>
      </w:r>
      <w:r>
        <w:rPr>
          <w:rFonts w:ascii="Arial" w:hAnsi="Arial"/>
          <w:b/>
          <w:color w:val="1F2937"/>
          <w:sz w:val="20"/>
        </w:rPr>
        <w:t>Story Points:</w:t>
      </w:r>
      <w:r>
        <w:rPr>
          <w:rFonts w:ascii="Arial" w:hAnsi="Arial"/>
          <w:color w:val="374151"/>
          <w:sz w:val="20"/>
        </w:rPr>
        <w:t xml:space="preserve"> 3 | </w:t>
      </w:r>
      <w:r>
        <w:rPr>
          <w:rFonts w:ascii="Arial" w:hAnsi="Arial"/>
          <w:b/>
          <w:color w:val="1F2937"/>
          <w:sz w:val="20"/>
        </w:rPr>
        <w:t>Assignee:</w:t>
      </w:r>
      <w:r>
        <w:rPr>
          <w:rFonts w:ascii="Arial" w:hAnsi="Arial"/>
          <w:color w:val="374151"/>
          <w:sz w:val="20"/>
        </w:rPr>
        <w:t xml:space="preserve"> Person 1 (Backend)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Description:</w:t>
      </w:r>
      <w:r>
        <w:rPr>
          <w:rFonts w:ascii="Arial" w:hAnsi="Arial"/>
          <w:color w:val="374151"/>
          <w:sz w:val="20"/>
        </w:rPr>
        <w:t xml:space="preserve"> Implement category override endpoint with immutable audit trail logging in SQLite </w:t>
      </w:r>
      <w:r>
        <w:rPr>
          <w:rFonts w:ascii="Consolas" w:hAnsi="Consolas"/>
          <w:color w:val="B41E1E"/>
          <w:sz w:val="19"/>
        </w:rPr>
        <w:t>audit_logs</w:t>
      </w:r>
      <w:r>
        <w:rPr>
          <w:rFonts w:ascii="Arial" w:hAnsi="Arial"/>
          <w:color w:val="374151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Acceptance Criteria: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Instantaneous category reclassification reflected across all ledger views.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color w:val="374151"/>
          <w:sz w:val="20"/>
        </w:rPr>
        <w:t>Complete historical log preserved with timestamp, user action, and previous category.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