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15CC7" w14:textId="77777777" w:rsidR="008112D2" w:rsidRPr="009318B0" w:rsidRDefault="008F0064" w:rsidP="009B0263">
      <w:pPr>
        <w:shd w:val="clear" w:color="auto" w:fill="FFFFFF"/>
        <w:spacing w:after="150" w:line="240" w:lineRule="auto"/>
        <w:jc w:val="center"/>
        <w:rPr>
          <w:rFonts w:ascii="Segoe UI" w:hAnsi="Segoe UI" w:cs="Segoe UI"/>
          <w:b/>
          <w:bCs/>
          <w:sz w:val="48"/>
          <w:szCs w:val="48"/>
          <w:shd w:val="clear" w:color="auto" w:fill="FFFFFF"/>
        </w:rPr>
      </w:pPr>
      <w:r w:rsidRPr="009318B0">
        <w:rPr>
          <w:rFonts w:ascii="Segoe UI" w:hAnsi="Segoe UI" w:cs="Segoe UI"/>
          <w:b/>
          <w:bCs/>
          <w:sz w:val="48"/>
          <w:szCs w:val="48"/>
          <w:shd w:val="clear" w:color="auto" w:fill="FFFFFF"/>
        </w:rPr>
        <w:t>Analysis:</w:t>
      </w:r>
      <w:r w:rsidR="008112D2" w:rsidRPr="009318B0">
        <w:rPr>
          <w:rFonts w:ascii="Segoe UI" w:hAnsi="Segoe UI" w:cs="Segoe UI"/>
          <w:b/>
          <w:bCs/>
          <w:sz w:val="48"/>
          <w:szCs w:val="48"/>
          <w:shd w:val="clear" w:color="auto" w:fill="FFFFFF"/>
        </w:rPr>
        <w:t xml:space="preserve"> </w:t>
      </w:r>
    </w:p>
    <w:p w14:paraId="1ADDC1D5" w14:textId="31D14283" w:rsidR="008112D2" w:rsidRDefault="008112D2" w:rsidP="009B0263">
      <w:pPr>
        <w:shd w:val="clear" w:color="auto" w:fill="FFFFFF"/>
        <w:spacing w:after="150" w:line="240" w:lineRule="auto"/>
        <w:jc w:val="center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"Estimation of total mortality due to Covid-19" </w:t>
      </w:r>
    </w:p>
    <w:p w14:paraId="7F9F8295" w14:textId="63759B3C" w:rsidR="008F0064" w:rsidRDefault="008112D2" w:rsidP="008112D2">
      <w:pPr>
        <w:shd w:val="clear" w:color="auto" w:fill="FFFFFF"/>
        <w:spacing w:after="150" w:line="240" w:lineRule="auto"/>
        <w:jc w:val="right"/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-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by IHME-University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Of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Washington</w:t>
      </w:r>
    </w:p>
    <w:p w14:paraId="19503B64" w14:textId="2D9B40CB" w:rsidR="009B0263" w:rsidRPr="009B0263" w:rsidRDefault="008112D2" w:rsidP="009B0263">
      <w:pPr>
        <w:shd w:val="clear" w:color="auto" w:fill="FFFFFF"/>
        <w:spacing w:after="150" w:line="240" w:lineRule="auto"/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Done by: </w:t>
      </w:r>
      <w:r w:rsidR="009B0263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Adarsh Rana</w:t>
      </w:r>
    </w:p>
    <w:p w14:paraId="3720214D" w14:textId="77777777" w:rsidR="00F53AF3" w:rsidRDefault="00F53AF3" w:rsidP="00ED712D">
      <w:pPr>
        <w:shd w:val="clear" w:color="auto" w:fill="FFFFFF"/>
        <w:spacing w:after="150" w:line="240" w:lineRule="auto"/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</w:p>
    <w:p w14:paraId="2EC45A98" w14:textId="77777777" w:rsidR="00F53AF3" w:rsidRDefault="00F53AF3" w:rsidP="00ED712D">
      <w:pPr>
        <w:shd w:val="clear" w:color="auto" w:fill="FFFFFF"/>
        <w:spacing w:after="150" w:line="240" w:lineRule="auto"/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</w:p>
    <w:p w14:paraId="11E881A3" w14:textId="77777777" w:rsidR="00F53AF3" w:rsidRDefault="00F53AF3" w:rsidP="00ED712D">
      <w:pPr>
        <w:shd w:val="clear" w:color="auto" w:fill="FFFFFF"/>
        <w:spacing w:after="150" w:line="240" w:lineRule="auto"/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</w:p>
    <w:p w14:paraId="5221C425" w14:textId="3DD43B02" w:rsidR="008F0064" w:rsidRDefault="009B0263" w:rsidP="00ED712D">
      <w:pPr>
        <w:shd w:val="clear" w:color="auto" w:fill="FFFFFF"/>
        <w:spacing w:after="150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 w:rsidRPr="009B0263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*</w:t>
      </w:r>
      <w:r w:rsidR="008F0064" w:rsidRPr="009B0263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Aim</w:t>
      </w:r>
      <w:r w:rsidR="008F0064">
        <w:rPr>
          <w:rFonts w:ascii="Segoe UI" w:hAnsi="Segoe UI" w:cs="Segoe UI"/>
          <w:sz w:val="21"/>
          <w:szCs w:val="21"/>
          <w:shd w:val="clear" w:color="auto" w:fill="FFFFFF"/>
        </w:rPr>
        <w:t xml:space="preserve">: To find the reason for the difference between the number of deaths reported by the respective government of a </w:t>
      </w:r>
      <w:proofErr w:type="gramStart"/>
      <w:r w:rsidR="008F0064">
        <w:rPr>
          <w:rFonts w:ascii="Segoe UI" w:hAnsi="Segoe UI" w:cs="Segoe UI"/>
          <w:sz w:val="21"/>
          <w:szCs w:val="21"/>
          <w:shd w:val="clear" w:color="auto" w:fill="FFFFFF"/>
        </w:rPr>
        <w:t>country( here</w:t>
      </w:r>
      <w:proofErr w:type="gramEnd"/>
      <w:r w:rsidR="008F0064">
        <w:rPr>
          <w:rFonts w:ascii="Segoe UI" w:hAnsi="Segoe UI" w:cs="Segoe UI"/>
          <w:sz w:val="21"/>
          <w:szCs w:val="21"/>
          <w:shd w:val="clear" w:color="auto" w:fill="FFFFFF"/>
        </w:rPr>
        <w:t xml:space="preserve"> we take only INDIA) and the number of deaths estimated by the IHME (University of Washington).</w:t>
      </w:r>
    </w:p>
    <w:p w14:paraId="58C37E03" w14:textId="77777777" w:rsidR="008F0064" w:rsidRDefault="008F0064" w:rsidP="00ED712D">
      <w:pPr>
        <w:shd w:val="clear" w:color="auto" w:fill="FFFFFF"/>
        <w:spacing w:after="150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6FE2455B" w14:textId="3FFB12B1" w:rsidR="008F0064" w:rsidRDefault="008F0064" w:rsidP="00ED712D">
      <w:pPr>
        <w:shd w:val="clear" w:color="auto" w:fill="FFFFFF"/>
        <w:spacing w:after="150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45344058" w14:textId="77777777" w:rsidR="00F53AF3" w:rsidRDefault="00F53AF3" w:rsidP="00ED712D">
      <w:pPr>
        <w:shd w:val="clear" w:color="auto" w:fill="FFFFFF"/>
        <w:spacing w:after="150" w:line="240" w:lineRule="auto"/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</w:p>
    <w:p w14:paraId="7823D40D" w14:textId="77777777" w:rsidR="00F53AF3" w:rsidRDefault="00F53AF3" w:rsidP="00ED712D">
      <w:pPr>
        <w:shd w:val="clear" w:color="auto" w:fill="FFFFFF"/>
        <w:spacing w:after="150" w:line="240" w:lineRule="auto"/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</w:p>
    <w:p w14:paraId="5A5F269F" w14:textId="00953BCD" w:rsidR="00486ACA" w:rsidRDefault="009B0263" w:rsidP="00ED712D">
      <w:pPr>
        <w:shd w:val="clear" w:color="auto" w:fill="FFFFFF"/>
        <w:spacing w:after="150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 w:rsidRPr="009B0263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=&gt;</w:t>
      </w:r>
      <w:r>
        <w:rPr>
          <w:rFonts w:ascii="Segoe UI" w:hAnsi="Segoe UI" w:cs="Segoe UI"/>
          <w:sz w:val="21"/>
          <w:szCs w:val="21"/>
          <w:shd w:val="clear" w:color="auto" w:fill="FFFFFF"/>
        </w:rPr>
        <w:t>S</w:t>
      </w:r>
      <w:r w:rsidR="008F0064">
        <w:rPr>
          <w:rFonts w:ascii="Segoe UI" w:hAnsi="Segoe UI" w:cs="Segoe UI"/>
          <w:sz w:val="21"/>
          <w:szCs w:val="21"/>
          <w:shd w:val="clear" w:color="auto" w:fill="FFFFFF"/>
        </w:rPr>
        <w:t xml:space="preserve">howing the difference between the governmental data and the data estimated by </w:t>
      </w:r>
      <w:proofErr w:type="gramStart"/>
      <w:r w:rsidR="008F0064">
        <w:rPr>
          <w:rFonts w:ascii="Segoe UI" w:hAnsi="Segoe UI" w:cs="Segoe UI"/>
          <w:sz w:val="21"/>
          <w:szCs w:val="21"/>
          <w:shd w:val="clear" w:color="auto" w:fill="FFFFFF"/>
        </w:rPr>
        <w:t>IHME(</w:t>
      </w:r>
      <w:proofErr w:type="gramEnd"/>
      <w:r w:rsidR="008F0064">
        <w:rPr>
          <w:rFonts w:ascii="Segoe UI" w:hAnsi="Segoe UI" w:cs="Segoe UI"/>
          <w:sz w:val="21"/>
          <w:szCs w:val="21"/>
          <w:shd w:val="clear" w:color="auto" w:fill="FFFFFF"/>
        </w:rPr>
        <w:t>university of Washington).</w:t>
      </w:r>
    </w:p>
    <w:p w14:paraId="26F47E98" w14:textId="0DC9FF7C" w:rsidR="00486ACA" w:rsidRDefault="00486ACA" w:rsidP="00ED712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2D4486EB" wp14:editId="3A019A28">
            <wp:extent cx="7353300" cy="3949700"/>
            <wp:effectExtent l="0" t="0" r="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6502471-0AAC-457E-BB83-D4FC5A6D69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95AF74A" w14:textId="51CD910C" w:rsidR="008F0064" w:rsidRDefault="008F0064" w:rsidP="00ED712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14:paraId="5A1D5108" w14:textId="77777777" w:rsidR="00F53AF3" w:rsidRDefault="00F53AF3" w:rsidP="00ED712D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</w:p>
    <w:p w14:paraId="5B6FD3F4" w14:textId="77777777" w:rsidR="00F53AF3" w:rsidRDefault="00F53AF3" w:rsidP="00ED712D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</w:p>
    <w:p w14:paraId="1817B0B8" w14:textId="77777777" w:rsidR="00F53AF3" w:rsidRDefault="00F53AF3" w:rsidP="00ED712D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</w:p>
    <w:p w14:paraId="1B9FDA44" w14:textId="77777777" w:rsidR="00F53AF3" w:rsidRDefault="00F53AF3" w:rsidP="00ED712D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</w:p>
    <w:p w14:paraId="564257EB" w14:textId="118AF9DA" w:rsidR="008F0064" w:rsidRDefault="009B0263" w:rsidP="00ED712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9B0263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lastRenderedPageBreak/>
        <w:t>=&gt;</w:t>
      </w: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In context to INDIA:</w:t>
      </w:r>
    </w:p>
    <w:p w14:paraId="3CB59607" w14:textId="446132A0" w:rsidR="008F0064" w:rsidRDefault="008F0064" w:rsidP="00ED712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14:paraId="5FE00250" w14:textId="51061231" w:rsidR="009B0263" w:rsidRDefault="009B0263" w:rsidP="00ED712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794D6874" wp14:editId="145F5001">
            <wp:extent cx="5892800" cy="2940050"/>
            <wp:effectExtent l="0" t="0" r="12700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FE72B6A2-31F3-4BE2-A082-166D944441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0F4D03E" w14:textId="03311FD4" w:rsidR="009B0263" w:rsidRDefault="009B0263" w:rsidP="00ED712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14:paraId="0E9EB533" w14:textId="1929F407" w:rsidR="009B0263" w:rsidRPr="009B0263" w:rsidRDefault="009B0263" w:rsidP="00ED712D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*</w:t>
      </w:r>
      <w:r w:rsidRPr="009B0263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Difference: 4,88,795</w:t>
      </w:r>
    </w:p>
    <w:p w14:paraId="2568C095" w14:textId="2ADA0073" w:rsidR="008F0064" w:rsidRPr="00ED712D" w:rsidRDefault="008F0064" w:rsidP="00ED712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14:paraId="7AAE3B71" w14:textId="3D073303" w:rsidR="005458D3" w:rsidRDefault="009318B0">
      <w:pPr>
        <w:rPr>
          <w:lang w:val="en-GB"/>
        </w:rPr>
      </w:pPr>
    </w:p>
    <w:p w14:paraId="4ED07647" w14:textId="17D0B65D" w:rsidR="00BD097C" w:rsidRDefault="009B0263">
      <w:pPr>
        <w:rPr>
          <w:lang w:val="en-GB"/>
        </w:rPr>
      </w:pPr>
      <w:r w:rsidRPr="009B0263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=&gt;</w:t>
      </w:r>
      <w:r w:rsidR="008F0064">
        <w:rPr>
          <w:rFonts w:ascii="Segoe UI" w:hAnsi="Segoe UI" w:cs="Segoe UI"/>
          <w:sz w:val="21"/>
          <w:szCs w:val="21"/>
          <w:shd w:val="clear" w:color="auto" w:fill="FFFFFF"/>
        </w:rPr>
        <w:t xml:space="preserve">The cause of difference between the IHME estimation and the governmental estimation is the </w:t>
      </w:r>
      <w:r w:rsidR="008F0064" w:rsidRPr="008F0064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definition of the cause of death (COD) due to Covid-19.</w:t>
      </w:r>
      <w:r w:rsidR="008F0064">
        <w:rPr>
          <w:rFonts w:ascii="Segoe UI" w:hAnsi="Segoe UI" w:cs="Segoe UI"/>
          <w:sz w:val="21"/>
          <w:szCs w:val="21"/>
        </w:rPr>
        <w:br/>
      </w:r>
    </w:p>
    <w:p w14:paraId="42650341" w14:textId="7B44383C" w:rsidR="00BD097C" w:rsidRPr="008F0064" w:rsidRDefault="009B0263">
      <w:pPr>
        <w:rPr>
          <w:b/>
          <w:bCs/>
          <w:lang w:val="en-GB"/>
        </w:rPr>
      </w:pPr>
      <w:r w:rsidRPr="009B0263">
        <w:rPr>
          <w:lang w:val="en-GB"/>
        </w:rPr>
        <w:t>=&gt;</w:t>
      </w:r>
      <w:r w:rsidR="00BD097C" w:rsidRPr="008F0064">
        <w:rPr>
          <w:b/>
          <w:bCs/>
          <w:lang w:val="en-GB"/>
        </w:rPr>
        <w:t>Reason behind the difference</w:t>
      </w:r>
    </w:p>
    <w:p w14:paraId="08E47F9B" w14:textId="3531D6FF" w:rsidR="008F0064" w:rsidRDefault="009B0263">
      <w:pPr>
        <w:rPr>
          <w:rFonts w:ascii="Segoe UI" w:hAnsi="Segoe UI" w:cs="Segoe UI"/>
          <w:sz w:val="21"/>
          <w:szCs w:val="21"/>
          <w:u w:val="single"/>
          <w:shd w:val="clear" w:color="auto" w:fill="FFFFFF"/>
        </w:rPr>
      </w:pPr>
      <w:r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*</w:t>
      </w:r>
      <w:r w:rsidR="00486ACA" w:rsidRPr="008F0064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World Health Organisation defines COD due to Covid-19 </w:t>
      </w:r>
      <w:r w:rsidR="00486ACA">
        <w:rPr>
          <w:rFonts w:ascii="Segoe UI" w:hAnsi="Segoe UI" w:cs="Segoe UI"/>
          <w:sz w:val="21"/>
          <w:szCs w:val="21"/>
          <w:shd w:val="clear" w:color="auto" w:fill="FFFFFF"/>
        </w:rPr>
        <w:t>as:</w:t>
      </w:r>
      <w:r w:rsidR="00486ACA">
        <w:rPr>
          <w:rFonts w:ascii="Segoe UI" w:hAnsi="Segoe UI" w:cs="Segoe UI"/>
          <w:sz w:val="21"/>
          <w:szCs w:val="21"/>
        </w:rPr>
        <w:br/>
      </w:r>
      <w:r w:rsidR="00486ACA">
        <w:rPr>
          <w:rFonts w:ascii="Segoe UI" w:hAnsi="Segoe UI" w:cs="Segoe UI"/>
          <w:sz w:val="21"/>
          <w:szCs w:val="21"/>
          <w:shd w:val="clear" w:color="auto" w:fill="FFFFFF"/>
        </w:rPr>
        <w:t>: A death due to COVID-19 is defined for surveillance purposes as a death resulting from a clinically compatible illness, in a probable or confirmed COVID-19 case, unless there is a clear alternative cause of death that cannot be related to COVID disease (</w:t>
      </w:r>
      <w:proofErr w:type="gramStart"/>
      <w:r w:rsidR="00486ACA">
        <w:rPr>
          <w:rFonts w:ascii="Segoe UI" w:hAnsi="Segoe UI" w:cs="Segoe UI"/>
          <w:sz w:val="21"/>
          <w:szCs w:val="21"/>
          <w:shd w:val="clear" w:color="auto" w:fill="FFFFFF"/>
        </w:rPr>
        <w:t>e.g.</w:t>
      </w:r>
      <w:proofErr w:type="gramEnd"/>
      <w:r w:rsidR="00486ACA">
        <w:rPr>
          <w:rFonts w:ascii="Segoe UI" w:hAnsi="Segoe UI" w:cs="Segoe UI"/>
          <w:sz w:val="21"/>
          <w:szCs w:val="21"/>
          <w:shd w:val="clear" w:color="auto" w:fill="FFFFFF"/>
        </w:rPr>
        <w:t xml:space="preserve"> trauma). There should be no period of complete recovery from COVID-19 between illness and death</w:t>
      </w:r>
      <w:r w:rsidR="00486ACA" w:rsidRPr="008F0064">
        <w:rPr>
          <w:rFonts w:ascii="Segoe UI" w:hAnsi="Segoe UI" w:cs="Segoe UI"/>
          <w:sz w:val="21"/>
          <w:szCs w:val="21"/>
          <w:u w:val="single"/>
          <w:shd w:val="clear" w:color="auto" w:fill="FFFFFF"/>
        </w:rPr>
        <w:t>. A death due to COVID-19 may not be attributed to another disease (</w:t>
      </w:r>
      <w:proofErr w:type="gramStart"/>
      <w:r w:rsidR="00486ACA" w:rsidRPr="008F0064">
        <w:rPr>
          <w:rFonts w:ascii="Segoe UI" w:hAnsi="Segoe UI" w:cs="Segoe UI"/>
          <w:sz w:val="21"/>
          <w:szCs w:val="21"/>
          <w:u w:val="single"/>
          <w:shd w:val="clear" w:color="auto" w:fill="FFFFFF"/>
        </w:rPr>
        <w:t>e.g.</w:t>
      </w:r>
      <w:proofErr w:type="gramEnd"/>
      <w:r w:rsidR="00486ACA" w:rsidRPr="008F0064">
        <w:rPr>
          <w:rFonts w:ascii="Segoe UI" w:hAnsi="Segoe UI" w:cs="Segoe UI"/>
          <w:sz w:val="21"/>
          <w:szCs w:val="21"/>
          <w:u w:val="single"/>
          <w:shd w:val="clear" w:color="auto" w:fill="FFFFFF"/>
        </w:rPr>
        <w:t xml:space="preserve"> cancer) and should be counted independently of </w:t>
      </w:r>
      <w:proofErr w:type="spellStart"/>
      <w:r w:rsidR="00486ACA" w:rsidRPr="008F0064">
        <w:rPr>
          <w:rFonts w:ascii="Segoe UI" w:hAnsi="Segoe UI" w:cs="Segoe UI"/>
          <w:sz w:val="21"/>
          <w:szCs w:val="21"/>
          <w:u w:val="single"/>
          <w:shd w:val="clear" w:color="auto" w:fill="FFFFFF"/>
        </w:rPr>
        <w:t>preexisting</w:t>
      </w:r>
      <w:proofErr w:type="spellEnd"/>
      <w:r w:rsidR="00486ACA" w:rsidRPr="008F0064">
        <w:rPr>
          <w:rFonts w:ascii="Segoe UI" w:hAnsi="Segoe UI" w:cs="Segoe UI"/>
          <w:sz w:val="21"/>
          <w:szCs w:val="21"/>
          <w:u w:val="single"/>
          <w:shd w:val="clear" w:color="auto" w:fill="FFFFFF"/>
        </w:rPr>
        <w:t xml:space="preserve"> conditions that are suspected of triggering a severe course of COVID-19.</w:t>
      </w:r>
      <w:r>
        <w:rPr>
          <w:rFonts w:ascii="Segoe UI" w:hAnsi="Segoe UI" w:cs="Segoe UI"/>
          <w:sz w:val="21"/>
          <w:szCs w:val="21"/>
          <w:u w:val="single"/>
          <w:shd w:val="clear" w:color="auto" w:fill="FFFFFF"/>
        </w:rPr>
        <w:t xml:space="preserve"> </w:t>
      </w:r>
    </w:p>
    <w:p w14:paraId="464668CE" w14:textId="77777777" w:rsidR="009B0263" w:rsidRDefault="009B0263" w:rsidP="009318B0">
      <w:pPr>
        <w:jc w:val="right"/>
        <w:rPr>
          <w:b/>
          <w:bCs/>
        </w:rPr>
      </w:pPr>
      <w:r w:rsidRPr="00F02FA3">
        <w:rPr>
          <w:rFonts w:ascii="Helvetica" w:eastAsia="Times New Roman" w:hAnsi="Helvetica" w:cs="Helvetica"/>
          <w:sz w:val="20"/>
          <w:szCs w:val="20"/>
          <w:lang w:eastAsia="en-IN"/>
        </w:rPr>
        <w:t>--------------</w:t>
      </w:r>
      <w:r>
        <w:rPr>
          <w:rFonts w:ascii="Helvetica" w:eastAsia="Times New Roman" w:hAnsi="Helvetica" w:cs="Helvetica"/>
          <w:sz w:val="20"/>
          <w:szCs w:val="20"/>
          <w:lang w:eastAsia="en-IN"/>
        </w:rPr>
        <w:t xml:space="preserve"> from WHO Cauese_Of_Death_Covid-19.pdf</w:t>
      </w:r>
    </w:p>
    <w:p w14:paraId="5411B4C6" w14:textId="77777777" w:rsidR="009B0263" w:rsidRPr="008F0064" w:rsidRDefault="009B0263">
      <w:pPr>
        <w:rPr>
          <w:rFonts w:ascii="Segoe UI" w:hAnsi="Segoe UI" w:cs="Segoe UI"/>
          <w:sz w:val="21"/>
          <w:szCs w:val="21"/>
          <w:u w:val="single"/>
          <w:shd w:val="clear" w:color="auto" w:fill="FFFFFF"/>
        </w:rPr>
      </w:pPr>
    </w:p>
    <w:p w14:paraId="3C5F8BDF" w14:textId="77777777" w:rsidR="008F0064" w:rsidRDefault="008F0064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561A1A7A" w14:textId="02E3F914" w:rsidR="008F0064" w:rsidRDefault="009B0263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*</w:t>
      </w:r>
      <w:r w:rsidR="00486ACA" w:rsidRPr="008F0064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From the Indian Government prospective:</w:t>
      </w:r>
      <w:r w:rsidR="008F0064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   </w:t>
      </w:r>
      <w:r w:rsidR="00486ACA" w:rsidRPr="008F0064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ICMR</w:t>
      </w:r>
      <w:r w:rsidR="00486ACA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gramStart"/>
      <w:r w:rsidR="00486ACA">
        <w:rPr>
          <w:rFonts w:ascii="Segoe UI" w:hAnsi="Segoe UI" w:cs="Segoe UI"/>
          <w:sz w:val="21"/>
          <w:szCs w:val="21"/>
          <w:shd w:val="clear" w:color="auto" w:fill="FFFFFF"/>
        </w:rPr>
        <w:t>( Indian</w:t>
      </w:r>
      <w:proofErr w:type="gramEnd"/>
      <w:r w:rsidR="00486ACA">
        <w:rPr>
          <w:rFonts w:ascii="Segoe UI" w:hAnsi="Segoe UI" w:cs="Segoe UI"/>
          <w:sz w:val="21"/>
          <w:szCs w:val="21"/>
          <w:shd w:val="clear" w:color="auto" w:fill="FFFFFF"/>
        </w:rPr>
        <w:t xml:space="preserve"> Council Of Medical Research):</w:t>
      </w:r>
    </w:p>
    <w:p w14:paraId="52B7AD6C" w14:textId="0A583F42" w:rsidR="00486ACA" w:rsidRDefault="00486ACA">
      <w:pPr>
        <w:rPr>
          <w:rFonts w:ascii="Segoe UI" w:hAnsi="Segoe UI" w:cs="Segoe UI"/>
          <w:sz w:val="21"/>
          <w:szCs w:val="21"/>
          <w:u w:val="single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Patients may present with other pre-existing comorbid conditions such as chronic obstructive pulmonary disease (COPD) or asthma, chronic bronchitis, ischemic heart disease,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cancer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and diabetes mellitus. These conditions increase the risk of developing respiratory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infections, and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may lead to complications and severe disease in a COVID-19 positive individual</w:t>
      </w:r>
      <w:r w:rsidRPr="008F0064">
        <w:rPr>
          <w:rFonts w:ascii="Segoe UI" w:hAnsi="Segoe UI" w:cs="Segoe UI"/>
          <w:sz w:val="21"/>
          <w:szCs w:val="21"/>
          <w:u w:val="single"/>
          <w:shd w:val="clear" w:color="auto" w:fill="FFFFFF"/>
        </w:rPr>
        <w:t xml:space="preserve">. These conditions are not considered as UCOD (Underlying Cause </w:t>
      </w:r>
      <w:proofErr w:type="gramStart"/>
      <w:r w:rsidRPr="008F0064">
        <w:rPr>
          <w:rFonts w:ascii="Segoe UI" w:hAnsi="Segoe UI" w:cs="Segoe UI"/>
          <w:sz w:val="21"/>
          <w:szCs w:val="21"/>
          <w:u w:val="single"/>
          <w:shd w:val="clear" w:color="auto" w:fill="FFFFFF"/>
        </w:rPr>
        <w:t>Of</w:t>
      </w:r>
      <w:proofErr w:type="gramEnd"/>
      <w:r w:rsidRPr="008F0064">
        <w:rPr>
          <w:rFonts w:ascii="Segoe UI" w:hAnsi="Segoe UI" w:cs="Segoe UI"/>
          <w:sz w:val="21"/>
          <w:szCs w:val="21"/>
          <w:u w:val="single"/>
          <w:shd w:val="clear" w:color="auto" w:fill="FFFFFF"/>
        </w:rPr>
        <w:t xml:space="preserve"> Death) as they have directly not caused death due to COVID-19.</w:t>
      </w:r>
    </w:p>
    <w:p w14:paraId="15AE8D1D" w14:textId="77777777" w:rsidR="009B0263" w:rsidRDefault="009B0263" w:rsidP="009318B0">
      <w:pPr>
        <w:jc w:val="right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F02FA3">
        <w:rPr>
          <w:rFonts w:ascii="Helvetica" w:eastAsia="Times New Roman" w:hAnsi="Helvetica" w:cs="Helvetica"/>
          <w:sz w:val="20"/>
          <w:szCs w:val="20"/>
          <w:lang w:eastAsia="en-IN"/>
        </w:rPr>
        <w:t>----------</w:t>
      </w:r>
      <w:r>
        <w:rPr>
          <w:rFonts w:ascii="Helvetica" w:eastAsia="Times New Roman" w:hAnsi="Helvetica" w:cs="Helvetica"/>
          <w:sz w:val="20"/>
          <w:szCs w:val="20"/>
          <w:lang w:eastAsia="en-IN"/>
        </w:rPr>
        <w:t>----------from ICMR CoD_Covid-19_Guidance.pdf</w:t>
      </w:r>
    </w:p>
    <w:p w14:paraId="767F88C3" w14:textId="77777777" w:rsidR="009B0263" w:rsidRPr="008F0064" w:rsidRDefault="009B0263">
      <w:pPr>
        <w:rPr>
          <w:u w:val="single"/>
          <w:lang w:val="en-GB"/>
        </w:rPr>
      </w:pPr>
    </w:p>
    <w:sectPr w:rsidR="009B0263" w:rsidRPr="008F0064" w:rsidSect="009318B0">
      <w:pgSz w:w="11906" w:h="16838"/>
      <w:pgMar w:top="1134" w:right="720" w:bottom="720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A2CD5"/>
    <w:multiLevelType w:val="multilevel"/>
    <w:tmpl w:val="4AE49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957F3F"/>
    <w:multiLevelType w:val="multilevel"/>
    <w:tmpl w:val="C682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431FFC"/>
    <w:multiLevelType w:val="multilevel"/>
    <w:tmpl w:val="8972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9D13A3"/>
    <w:multiLevelType w:val="multilevel"/>
    <w:tmpl w:val="F4167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8C0AC9"/>
    <w:multiLevelType w:val="multilevel"/>
    <w:tmpl w:val="EF366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52"/>
    <w:rsid w:val="002B5E52"/>
    <w:rsid w:val="00311749"/>
    <w:rsid w:val="00486ACA"/>
    <w:rsid w:val="008112D2"/>
    <w:rsid w:val="008F0064"/>
    <w:rsid w:val="009318B0"/>
    <w:rsid w:val="009B0263"/>
    <w:rsid w:val="00B22C36"/>
    <w:rsid w:val="00BD097C"/>
    <w:rsid w:val="00ED712D"/>
    <w:rsid w:val="00F5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1C0BC"/>
  <w15:chartTrackingRefBased/>
  <w15:docId w15:val="{6E8714E6-086A-474E-AB4E-B40D29E4B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71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712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D7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D71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arsh%20Rana\Desktop\Data\project1\Project_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arsh%20Rana\Desktop\111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Estimation</a:t>
            </a:r>
            <a:r>
              <a:rPr lang="en-IN" baseline="0"/>
              <a:t> of total mortality due to COVID-19:</a:t>
            </a:r>
          </a:p>
          <a:p>
            <a:pPr>
              <a:defRPr/>
            </a:pPr>
            <a:r>
              <a:rPr lang="en-IN" baseline="0"/>
              <a:t>courtesy:www.healthdata.org, IHME 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0506305960740029E-2"/>
          <c:y val="0.12983465132997843"/>
          <c:w val="0.8938198565842328"/>
          <c:h val="0.61315845584003648"/>
        </c:manualLayout>
      </c:layout>
      <c:area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 COVID-19 deaths estimated by IHME (University of Washington)</c:v>
                </c:pt>
              </c:strCache>
            </c:strRef>
          </c:tx>
          <c:spPr>
            <a:solidFill>
              <a:schemeClr val="accent1"/>
            </a:solidFill>
            <a:ln w="19050">
              <a:noFill/>
            </a:ln>
            <a:effectLst/>
          </c:spPr>
          <c:dLbls>
            <c:dLbl>
              <c:idx val="0"/>
              <c:layout>
                <c:manualLayout>
                  <c:x val="2.1425349571493009E-2"/>
                  <c:y val="-0.2875629043853343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0E07-40A2-97E8-76812837DCA2}"/>
                </c:ext>
              </c:extLst>
            </c:dLbl>
            <c:dLbl>
              <c:idx val="1"/>
              <c:layout>
                <c:manualLayout>
                  <c:x val="1.0148849797023005E-2"/>
                  <c:y val="-0.2516175413371675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0E07-40A2-97E8-76812837DCA2}"/>
                </c:ext>
              </c:extLst>
            </c:dLbl>
            <c:dLbl>
              <c:idx val="2"/>
              <c:layout>
                <c:manualLayout>
                  <c:x val="4.5105999097880016E-3"/>
                  <c:y val="-0.20608674814282296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0E07-40A2-97E8-76812837DCA2}"/>
                </c:ext>
              </c:extLst>
            </c:dLbl>
            <c:dLbl>
              <c:idx val="3"/>
              <c:layout>
                <c:manualLayout>
                  <c:x val="1.1276499774470004E-3"/>
                  <c:y val="-0.17253774263120059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0E07-40A2-97E8-76812837DCA2}"/>
                </c:ext>
              </c:extLst>
            </c:dLbl>
            <c:dLbl>
              <c:idx val="4"/>
              <c:layout>
                <c:manualLayout>
                  <c:x val="6.7658998646820028E-3"/>
                  <c:y val="-0.20369039060627844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0E07-40A2-97E8-76812837DCA2}"/>
                </c:ext>
              </c:extLst>
            </c:dLbl>
            <c:dLbl>
              <c:idx val="5"/>
              <c:layout>
                <c:manualLayout>
                  <c:x val="2.2552999548940008E-3"/>
                  <c:y val="-7.428708363287803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0E07-40A2-97E8-76812837DCA2}"/>
                </c:ext>
              </c:extLst>
            </c:dLbl>
            <c:dLbl>
              <c:idx val="6"/>
              <c:layout>
                <c:manualLayout>
                  <c:x val="3.3829499323409186E-3"/>
                  <c:y val="-7.189072609633356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0E07-40A2-97E8-76812837DCA2}"/>
                </c:ext>
              </c:extLst>
            </c:dLbl>
            <c:dLbl>
              <c:idx val="7"/>
              <c:layout>
                <c:manualLayout>
                  <c:x val="0"/>
                  <c:y val="-6.47016534867002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0E07-40A2-97E8-76812837DCA2}"/>
                </c:ext>
              </c:extLst>
            </c:dLbl>
            <c:dLbl>
              <c:idx val="8"/>
              <c:layout>
                <c:manualLayout>
                  <c:x val="0"/>
                  <c:y val="-6.709801102324475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0E07-40A2-97E8-76812837DCA2}"/>
                </c:ext>
              </c:extLst>
            </c:dLbl>
            <c:dLbl>
              <c:idx val="9"/>
              <c:layout>
                <c:manualLayout>
                  <c:x val="-2.2552999548940008E-3"/>
                  <c:y val="-5.990893841361139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0E07-40A2-97E8-76812837DCA2}"/>
                </c:ext>
              </c:extLst>
            </c:dLbl>
            <c:dLbl>
              <c:idx val="10"/>
              <c:layout>
                <c:manualLayout>
                  <c:x val="-3.3829499323410014E-3"/>
                  <c:y val="-6.470165348670030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0E07-40A2-97E8-76812837DCA2}"/>
                </c:ext>
              </c:extLst>
            </c:dLbl>
            <c:dLbl>
              <c:idx val="11"/>
              <c:layout>
                <c:manualLayout>
                  <c:x val="-1.1276499774470004E-3"/>
                  <c:y val="-6.230529595015585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0E07-40A2-97E8-76812837DCA2}"/>
                </c:ext>
              </c:extLst>
            </c:dLbl>
            <c:dLbl>
              <c:idx val="12"/>
              <c:layout>
                <c:manualLayout>
                  <c:x val="-1.1276499774470004E-3"/>
                  <c:y val="-5.751258087706685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C-0E07-40A2-97E8-76812837DCA2}"/>
                </c:ext>
              </c:extLst>
            </c:dLbl>
            <c:dLbl>
              <c:idx val="13"/>
              <c:layout>
                <c:manualLayout>
                  <c:x val="-3.3829499323410842E-3"/>
                  <c:y val="-5.751258087706685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0E07-40A2-97E8-76812837DCA2}"/>
                </c:ext>
              </c:extLst>
            </c:dLbl>
            <c:dLbl>
              <c:idx val="14"/>
              <c:layout>
                <c:manualLayout>
                  <c:x val="-1.1276499774470832E-3"/>
                  <c:y val="-5.271986580397795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E-0E07-40A2-97E8-76812837DCA2}"/>
                </c:ext>
              </c:extLst>
            </c:dLbl>
            <c:dLbl>
              <c:idx val="15"/>
              <c:layout>
                <c:manualLayout>
                  <c:x val="2.2552999548940008E-3"/>
                  <c:y val="-4.792715073088904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0E07-40A2-97E8-76812837DCA2}"/>
                </c:ext>
              </c:extLst>
            </c:dLbl>
            <c:dLbl>
              <c:idx val="16"/>
              <c:layout>
                <c:manualLayout>
                  <c:x val="0"/>
                  <c:y val="-4.553079319434468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0-0E07-40A2-97E8-76812837DCA2}"/>
                </c:ext>
              </c:extLst>
            </c:dLbl>
            <c:dLbl>
              <c:idx val="17"/>
              <c:layout>
                <c:manualLayout>
                  <c:x val="-1.6538675279701208E-16"/>
                  <c:y val="-4.553079319434459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0E07-40A2-97E8-76812837DCA2}"/>
                </c:ext>
              </c:extLst>
            </c:dLbl>
            <c:dLbl>
              <c:idx val="18"/>
              <c:layout>
                <c:manualLayout>
                  <c:x val="0"/>
                  <c:y val="-3.594536304816687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2-0E07-40A2-97E8-76812837DCA2}"/>
                </c:ext>
              </c:extLst>
            </c:dLbl>
            <c:dLbl>
              <c:idx val="19"/>
              <c:layout>
                <c:manualLayout>
                  <c:x val="-1.1276499774470004E-3"/>
                  <c:y val="-3.834172058471124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3-0E07-40A2-97E8-76812837DCA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Sheet1!$A$2:$A$21</c:f>
              <c:strCache>
                <c:ptCount val="20"/>
                <c:pt idx="0">
                  <c:v>United States of America</c:v>
                </c:pt>
                <c:pt idx="1">
                  <c:v>India</c:v>
                </c:pt>
                <c:pt idx="2">
                  <c:v>Mexico</c:v>
                </c:pt>
                <c:pt idx="3">
                  <c:v>Brazil</c:v>
                </c:pt>
                <c:pt idx="4">
                  <c:v>Russian Federation</c:v>
                </c:pt>
                <c:pt idx="5">
                  <c:v>United Kingdom</c:v>
                </c:pt>
                <c:pt idx="6">
                  <c:v>Iran (Islamic Republic of)</c:v>
                </c:pt>
                <c:pt idx="7">
                  <c:v>Italy</c:v>
                </c:pt>
                <c:pt idx="8">
                  <c:v>Egypt</c:v>
                </c:pt>
                <c:pt idx="9">
                  <c:v>South Africa</c:v>
                </c:pt>
                <c:pt idx="10">
                  <c:v>Poland</c:v>
                </c:pt>
                <c:pt idx="11">
                  <c:v>Peru</c:v>
                </c:pt>
                <c:pt idx="12">
                  <c:v>Ukraine</c:v>
                </c:pt>
                <c:pt idx="13">
                  <c:v>France</c:v>
                </c:pt>
                <c:pt idx="14">
                  <c:v>Spain</c:v>
                </c:pt>
                <c:pt idx="15">
                  <c:v>Germany</c:v>
                </c:pt>
                <c:pt idx="16">
                  <c:v>Indonesia</c:v>
                </c:pt>
                <c:pt idx="17">
                  <c:v>Mexico</c:v>
                </c:pt>
                <c:pt idx="18">
                  <c:v>Romania</c:v>
                </c:pt>
                <c:pt idx="19">
                  <c:v>Kazakhstan</c:v>
                </c:pt>
              </c:strCache>
            </c:strRef>
          </c:cat>
          <c:val>
            <c:numRef>
              <c:f>Sheet1!$B$2:$B$21</c:f>
              <c:numCache>
                <c:formatCode>#,##0</c:formatCode>
                <c:ptCount val="20"/>
                <c:pt idx="0">
                  <c:v>912345</c:v>
                </c:pt>
                <c:pt idx="1">
                  <c:v>736811</c:v>
                </c:pt>
                <c:pt idx="2">
                  <c:v>621962</c:v>
                </c:pt>
                <c:pt idx="3">
                  <c:v>616914</c:v>
                </c:pt>
                <c:pt idx="4">
                  <c:v>607589</c:v>
                </c:pt>
                <c:pt idx="5">
                  <c:v>210076</c:v>
                </c:pt>
                <c:pt idx="6">
                  <c:v>180487</c:v>
                </c:pt>
                <c:pt idx="7">
                  <c:v>178144</c:v>
                </c:pt>
                <c:pt idx="8">
                  <c:v>175590</c:v>
                </c:pt>
                <c:pt idx="9">
                  <c:v>161504</c:v>
                </c:pt>
                <c:pt idx="10">
                  <c:v>153626</c:v>
                </c:pt>
                <c:pt idx="11">
                  <c:v>151939</c:v>
                </c:pt>
                <c:pt idx="12">
                  <c:v>143415</c:v>
                </c:pt>
                <c:pt idx="13">
                  <c:v>134400</c:v>
                </c:pt>
                <c:pt idx="14">
                  <c:v>124449</c:v>
                </c:pt>
                <c:pt idx="15">
                  <c:v>122977</c:v>
                </c:pt>
                <c:pt idx="16">
                  <c:v>118796</c:v>
                </c:pt>
                <c:pt idx="17">
                  <c:v>102568</c:v>
                </c:pt>
                <c:pt idx="18">
                  <c:v>89619</c:v>
                </c:pt>
                <c:pt idx="19">
                  <c:v>84453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0E07-40A2-97E8-76812837DCA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Reported COVID-19 deaths by government</c:v>
                </c:pt>
              </c:strCache>
            </c:strRef>
          </c:tx>
          <c:spPr>
            <a:solidFill>
              <a:schemeClr val="accent2"/>
            </a:solidFill>
            <a:ln w="19050">
              <a:noFill/>
            </a:ln>
            <a:effectLst/>
          </c:spPr>
          <c:dLbls>
            <c:dLbl>
              <c:idx val="0"/>
              <c:layout>
                <c:manualLayout>
                  <c:x val="1.9170049616599006E-2"/>
                  <c:y val="-0.18451953031392285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5-0E07-40A2-97E8-76812837DCA2}"/>
                </c:ext>
              </c:extLst>
            </c:dLbl>
            <c:dLbl>
              <c:idx val="1"/>
              <c:layout>
                <c:manualLayout>
                  <c:x val="3.3829499323409806E-3"/>
                  <c:y val="-9.585430146177809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6-0E07-40A2-97E8-76812837DCA2}"/>
                </c:ext>
              </c:extLst>
            </c:dLbl>
            <c:dLbl>
              <c:idx val="2"/>
              <c:layout>
                <c:manualLayout>
                  <c:x val="0"/>
                  <c:y val="-5.271986580397795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7-0E07-40A2-97E8-76812837DCA2}"/>
                </c:ext>
              </c:extLst>
            </c:dLbl>
            <c:dLbl>
              <c:idx val="3"/>
              <c:layout>
                <c:manualLayout>
                  <c:x val="2.2552999548940008E-3"/>
                  <c:y val="-0.14378145219266725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8-0E07-40A2-97E8-76812837DCA2}"/>
                </c:ext>
              </c:extLst>
            </c:dLbl>
            <c:dLbl>
              <c:idx val="4"/>
              <c:layout>
                <c:manualLayout>
                  <c:x val="0"/>
                  <c:y val="-5.751258087706685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9-0E07-40A2-97E8-76812837DCA2}"/>
                </c:ext>
              </c:extLst>
            </c:dLbl>
            <c:dLbl>
              <c:idx val="5"/>
              <c:layout>
                <c:manualLayout>
                  <c:x val="-3.3829499323410426E-3"/>
                  <c:y val="-3.115264797507796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A-0E07-40A2-97E8-76812837DCA2}"/>
                </c:ext>
              </c:extLst>
            </c:dLbl>
            <c:dLbl>
              <c:idx val="6"/>
              <c:layout>
                <c:manualLayout>
                  <c:x val="-1.1276499774470418E-3"/>
                  <c:y val="-1.677450275581108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B-0E07-40A2-97E8-76812837DCA2}"/>
                </c:ext>
              </c:extLst>
            </c:dLbl>
            <c:dLbl>
              <c:idx val="7"/>
              <c:layout>
                <c:manualLayout>
                  <c:x val="-1.1276499774470004E-3"/>
                  <c:y val="-2.15672178289001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C-0E07-40A2-97E8-76812837DCA2}"/>
                </c:ext>
              </c:extLst>
            </c:dLbl>
            <c:dLbl>
              <c:idx val="8"/>
              <c:layout>
                <c:manualLayout>
                  <c:x val="0"/>
                  <c:y val="-4.7927150730889927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D-0E07-40A2-97E8-76812837DCA2}"/>
                </c:ext>
              </c:extLst>
            </c:dLbl>
            <c:dLbl>
              <c:idx val="9"/>
              <c:layout>
                <c:manualLayout>
                  <c:x val="-8.2693376398506038E-17"/>
                  <c:y val="-4.7927150730889927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E-0E07-40A2-97E8-76812837DCA2}"/>
                </c:ext>
              </c:extLst>
            </c:dLbl>
            <c:dLbl>
              <c:idx val="10"/>
              <c:layout>
                <c:manualLayout>
                  <c:x val="-1.1276499774470832E-3"/>
                  <c:y val="-9.5854301461778101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F-0E07-40A2-97E8-76812837DCA2}"/>
                </c:ext>
              </c:extLst>
            </c:dLbl>
            <c:dLbl>
              <c:idx val="11"/>
              <c:layout>
                <c:manualLayout>
                  <c:x val="-2.2552999548940836E-3"/>
                  <c:y val="-9.5854301461778969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0-0E07-40A2-97E8-76812837DCA2}"/>
                </c:ext>
              </c:extLst>
            </c:dLbl>
            <c:dLbl>
              <c:idx val="12"/>
              <c:layout>
                <c:manualLayout>
                  <c:x val="0"/>
                  <c:y val="-9.5854301461778101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1-0E07-40A2-97E8-76812837DCA2}"/>
                </c:ext>
              </c:extLst>
            </c:dLbl>
            <c:dLbl>
              <c:idx val="13"/>
              <c:layout>
                <c:manualLayout>
                  <c:x val="1.1276499774468352E-3"/>
                  <c:y val="-2.156721782890007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2-0E07-40A2-97E8-76812837DCA2}"/>
                </c:ext>
              </c:extLst>
            </c:dLbl>
            <c:dLbl>
              <c:idx val="14"/>
              <c:layout>
                <c:manualLayout>
                  <c:x val="-8.2693376398506038E-17"/>
                  <c:y val="-2.156721782890007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3-0E07-40A2-97E8-76812837DCA2}"/>
                </c:ext>
              </c:extLst>
            </c:dLbl>
            <c:dLbl>
              <c:idx val="15"/>
              <c:layout>
                <c:manualLayout>
                  <c:x val="-1.1276499774471658E-3"/>
                  <c:y val="-1.437814521926662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4-0E07-40A2-97E8-76812837DCA2}"/>
                </c:ext>
              </c:extLst>
            </c:dLbl>
            <c:dLbl>
              <c:idx val="16"/>
              <c:layout>
                <c:manualLayout>
                  <c:x val="0"/>
                  <c:y val="-9.5854301461778969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5-0E07-40A2-97E8-76812837DCA2}"/>
                </c:ext>
              </c:extLst>
            </c:dLbl>
            <c:dLbl>
              <c:idx val="17"/>
              <c:layout>
                <c:manualLayout>
                  <c:x val="0"/>
                  <c:y val="-1.19817876827223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6-0E07-40A2-97E8-76812837DCA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Sheet1!$A$2:$A$21</c:f>
              <c:strCache>
                <c:ptCount val="20"/>
                <c:pt idx="0">
                  <c:v>United States of America</c:v>
                </c:pt>
                <c:pt idx="1">
                  <c:v>India</c:v>
                </c:pt>
                <c:pt idx="2">
                  <c:v>Mexico</c:v>
                </c:pt>
                <c:pt idx="3">
                  <c:v>Brazil</c:v>
                </c:pt>
                <c:pt idx="4">
                  <c:v>Russian Federation</c:v>
                </c:pt>
                <c:pt idx="5">
                  <c:v>United Kingdom</c:v>
                </c:pt>
                <c:pt idx="6">
                  <c:v>Iran (Islamic Republic of)</c:v>
                </c:pt>
                <c:pt idx="7">
                  <c:v>Italy</c:v>
                </c:pt>
                <c:pt idx="8">
                  <c:v>Egypt</c:v>
                </c:pt>
                <c:pt idx="9">
                  <c:v>South Africa</c:v>
                </c:pt>
                <c:pt idx="10">
                  <c:v>Poland</c:v>
                </c:pt>
                <c:pt idx="11">
                  <c:v>Peru</c:v>
                </c:pt>
                <c:pt idx="12">
                  <c:v>Ukraine</c:v>
                </c:pt>
                <c:pt idx="13">
                  <c:v>France</c:v>
                </c:pt>
                <c:pt idx="14">
                  <c:v>Spain</c:v>
                </c:pt>
                <c:pt idx="15">
                  <c:v>Germany</c:v>
                </c:pt>
                <c:pt idx="16">
                  <c:v>Indonesia</c:v>
                </c:pt>
                <c:pt idx="17">
                  <c:v>Mexico</c:v>
                </c:pt>
                <c:pt idx="18">
                  <c:v>Romania</c:v>
                </c:pt>
                <c:pt idx="19">
                  <c:v>Kazakhstan</c:v>
                </c:pt>
              </c:strCache>
            </c:strRef>
          </c:cat>
          <c:val>
            <c:numRef>
              <c:f>Sheet1!$C$2:$C$21</c:f>
              <c:numCache>
                <c:formatCode>#,##0</c:formatCode>
                <c:ptCount val="20"/>
                <c:pt idx="0">
                  <c:v>578555</c:v>
                </c:pt>
                <c:pt idx="1">
                  <c:v>248016</c:v>
                </c:pt>
                <c:pt idx="2">
                  <c:v>219372</c:v>
                </c:pt>
                <c:pt idx="3">
                  <c:v>423307</c:v>
                </c:pt>
                <c:pt idx="4">
                  <c:v>111909</c:v>
                </c:pt>
                <c:pt idx="5">
                  <c:v>150815</c:v>
                </c:pt>
                <c:pt idx="6">
                  <c:v>75547</c:v>
                </c:pt>
                <c:pt idx="7">
                  <c:v>122851</c:v>
                </c:pt>
                <c:pt idx="8">
                  <c:v>13970</c:v>
                </c:pt>
                <c:pt idx="9">
                  <c:v>54746</c:v>
                </c:pt>
                <c:pt idx="10">
                  <c:v>69954</c:v>
                </c:pt>
                <c:pt idx="11">
                  <c:v>64511</c:v>
                </c:pt>
                <c:pt idx="12">
                  <c:v>48393</c:v>
                </c:pt>
                <c:pt idx="13">
                  <c:v>106874</c:v>
                </c:pt>
                <c:pt idx="14">
                  <c:v>85822</c:v>
                </c:pt>
                <c:pt idx="15">
                  <c:v>84807</c:v>
                </c:pt>
                <c:pt idx="16">
                  <c:v>47150</c:v>
                </c:pt>
                <c:pt idx="17">
                  <c:v>34306</c:v>
                </c:pt>
                <c:pt idx="18">
                  <c:v>29020</c:v>
                </c:pt>
                <c:pt idx="19">
                  <c:v>5810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7-0E07-40A2-97E8-76812837DCA2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910115935"/>
        <c:axId val="910117183"/>
      </c:areaChart>
      <c:catAx>
        <c:axId val="9101159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0117183"/>
        <c:crosses val="autoZero"/>
        <c:auto val="1"/>
        <c:lblAlgn val="ctr"/>
        <c:lblOffset val="100"/>
        <c:noMultiLvlLbl val="0"/>
      </c:catAx>
      <c:valAx>
        <c:axId val="9101171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011593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Sheet1!$A$3</c:f>
              <c:strCache>
                <c:ptCount val="1"/>
                <c:pt idx="0">
                  <c:v>India</c:v>
                </c:pt>
              </c:strCache>
            </c:strRef>
          </c:tx>
          <c:spPr>
            <a:pattFill prst="ltUpDiag">
              <a:fgClr>
                <a:schemeClr val="accent1"/>
              </a:fgClr>
              <a:bgClr>
                <a:schemeClr val="lt1"/>
              </a:bgClr>
            </a:pattFill>
            <a:ln>
              <a:noFill/>
            </a:ln>
            <a:effectLst/>
          </c:spPr>
          <c:invertIfNegative val="0"/>
          <c:dLbls>
            <c:spPr>
              <a:solidFill>
                <a:srgbClr val="5B9BD5">
                  <a:alpha val="70000"/>
                </a:srgbClr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1"/>
              <c:pt idx="0">
                <c:v>ESTIMATION BY IHME</c:v>
              </c:pt>
            </c:strLit>
          </c:cat>
          <c:val>
            <c:numRef>
              <c:f>Sheet1!$B$3:$C$3</c:f>
              <c:numCache>
                <c:formatCode>#,##0</c:formatCode>
                <c:ptCount val="2"/>
                <c:pt idx="0">
                  <c:v>736811</c:v>
                </c:pt>
                <c:pt idx="1">
                  <c:v>248016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4AD-4EDA-AF01-AE6692D5F00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69"/>
        <c:overlap val="-20"/>
        <c:axId val="830765936"/>
        <c:axId val="830764688"/>
      </c:barChart>
      <c:catAx>
        <c:axId val="830765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baseline="0"/>
                  <a:t>BY GOVT. OF INDIA</a:t>
                </a:r>
                <a:endParaRPr lang="en-IN"/>
              </a:p>
            </c:rich>
          </c:tx>
          <c:layout>
            <c:manualLayout>
              <c:xMode val="edge"/>
              <c:yMode val="edge"/>
              <c:x val="0.63574190726159219"/>
              <c:y val="0.8148840769903762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accent1">
                <a:lumMod val="60000"/>
                <a:lumOff val="4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5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0764688"/>
        <c:crosses val="autoZero"/>
        <c:auto val="1"/>
        <c:lblAlgn val="ctr"/>
        <c:lblOffset val="100"/>
        <c:noMultiLvlLbl val="0"/>
      </c:catAx>
      <c:valAx>
        <c:axId val="83076468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Death</a:t>
                </a:r>
                <a:r>
                  <a:rPr lang="en-IN" baseline="0"/>
                  <a:t> due to covid-19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07659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4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800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>
      <cs:styleClr val="auto"/>
    </cs:fillRef>
    <cs:effectRef idx="0"/>
    <cs:fontRef idx="minor">
      <a:schemeClr val="lt1"/>
    </cs:fontRef>
    <cs:spPr>
      <a:solidFill>
        <a:schemeClr val="phClr">
          <a:alpha val="70000"/>
        </a:schemeClr>
      </a:solidFill>
    </cs:spPr>
    <cs:defRPr sz="900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 RANA</dc:creator>
  <cp:keywords/>
  <dc:description/>
  <cp:lastModifiedBy>ADARSH  RANA</cp:lastModifiedBy>
  <cp:revision>7</cp:revision>
  <dcterms:created xsi:type="dcterms:W3CDTF">2021-05-20T04:44:00Z</dcterms:created>
  <dcterms:modified xsi:type="dcterms:W3CDTF">2021-05-22T11:09:00Z</dcterms:modified>
</cp:coreProperties>
</file>