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s="Times New Roman"/>
          <w:b/>
          <w:i w:val="0"/>
          <w:color w:val="000000"/>
          <w:sz w:val="24"/>
        </w:rPr>
        <w:t>Technical approach</w:t>
      </w:r>
    </w:p>
    <w:p>
      <w:pPr>
        <w:pStyle w:val="Subtitle"/>
      </w:pPr>
      <w:r>
        <w:rPr>
          <w:rFonts w:ascii="Times New Roman" w:hAnsi="Times New Roman" w:eastAsia="Times New Roman" w:cs="Times New Roman"/>
          <w:b w:val="0"/>
          <w:i w:val="0"/>
          <w:color w:val="000000"/>
          <w:sz w:val="24"/>
        </w:rPr>
        <w:t>Apex Ridge Capital  |  Prototype handoff  |  Updated October 12, 2026</w:t>
      </w:r>
    </w:p>
    <w:p>
      <w:pPr/>
      <w:r>
        <w:rPr>
          <w:rFonts w:ascii="Times New Roman" w:hAnsi="Times New Roman" w:eastAsia="Times New Roman" w:cs="Times New Roman"/>
          <w:b w:val="0"/>
          <w:i w:val="0"/>
          <w:color w:val="000000"/>
          <w:sz w:val="24"/>
        </w:rPr>
        <w:t>I built a local application that turns SEC filings into a reviewable fund comparison. It automates finding and interpreting disclosures; the PM still decides whether the comparison is ready, and compliance can follow each accepted number back to its source.</w:t>
      </w:r>
    </w:p>
    <w:p>
      <w:pPr>
        <w:pStyle w:val="Heading2"/>
      </w:pPr>
      <w:r>
        <w:rPr>
          <w:rFonts w:ascii="Times New Roman" w:hAnsi="Times New Roman" w:eastAsia="Times New Roman" w:cs="Times New Roman"/>
          <w:b/>
          <w:i w:val="0"/>
          <w:color w:val="000000"/>
          <w:sz w:val="24"/>
        </w:rPr>
        <w:t>The scope I used</w:t>
      </w:r>
    </w:p>
    <w:p>
      <w:r>
        <w:rPr>
          <w:rFonts w:ascii="Times New Roman" w:hAnsi="Times New Roman" w:eastAsia="Times New Roman" w:cs="Times New Roman"/>
          <w:b w:val="0"/>
          <w:i w:val="0"/>
          <w:color w:val="000000"/>
          <w:sz w:val="24"/>
        </w:rPr>
        <w:t>The comparison is for Q4 2024, using filings published by February 28, 2025. Each number keeps its actual reporting date, even when it is older than the target quarter. Competitor NAV history covers eight quarter-end observations; other metrics use the latest supported values. Apex Ridge's supplied figures remain withheld because Dana disputed their provenance.</w:t>
      </w:r>
    </w:p>
    <w:p>
      <w:pPr>
        <w:pStyle w:val="Heading2"/>
      </w:pPr>
      <w:r>
        <w:rPr>
          <w:rFonts w:ascii="Times New Roman" w:hAnsi="Times New Roman" w:eastAsia="Times New Roman" w:cs="Times New Roman"/>
          <w:b/>
          <w:i w:val="0"/>
          <w:color w:val="000000"/>
          <w:sz w:val="24"/>
        </w:rPr>
        <w:t>1. Find the filings</w:t>
      </w:r>
    </w:p>
    <w:p>
      <w:r>
        <w:rPr>
          <w:rFonts w:ascii="Times New Roman" w:hAnsi="Times New Roman" w:eastAsia="Times New Roman" w:cs="Times New Roman"/>
          <w:b w:val="0"/>
          <w:i w:val="0"/>
          <w:color w:val="000000"/>
          <w:sz w:val="24"/>
        </w:rPr>
        <w:t>The Python service connects to SEC EDGAR, lists filings by fund identifier (CIK), and downloads eligible reports, supplements and exhibits. It uses a declared contact, rate limiting and bounded retries. The fund browser lets a user search for another fund and specify its structure and share class before adding it.</w:t>
      </w:r>
    </w:p>
    <w:p>
      <w:pPr>
        <w:pStyle w:val="Heading2"/>
      </w:pPr>
      <w:r>
        <w:rPr>
          <w:rFonts w:ascii="Times New Roman" w:hAnsi="Times New Roman" w:eastAsia="Times New Roman" w:cs="Times New Roman"/>
          <w:b/>
          <w:i w:val="0"/>
          <w:color w:val="000000"/>
          <w:sz w:val="24"/>
        </w:rPr>
        <w:t>2. Parse once and save the source</w:t>
      </w:r>
    </w:p>
    <w:p>
      <w:r>
        <w:rPr>
          <w:rFonts w:ascii="Times New Roman" w:hAnsi="Times New Roman" w:eastAsia="Times New Roman" w:cs="Times New Roman"/>
          <w:b w:val="0"/>
          <w:i w:val="0"/>
          <w:color w:val="000000"/>
          <w:sz w:val="24"/>
        </w:rPr>
        <w:t>HTML tables, narrative text, footnotes and PDF text become a reusable passage index. I save the original documents, their SHA-256 fingerprints and source locations alongside it. PDF citations use page numbers; HTML citations use table or text locations. N-PORT XML has dedicated field mappings and balance checks. Scanned PDF pages can use local OCR, but their numbers require visual confirmation.</w:t>
      </w:r>
    </w:p>
    <w:p>
      <w:pPr>
        <w:pStyle w:val="Heading2"/>
      </w:pPr>
      <w:r>
        <w:rPr>
          <w:rFonts w:ascii="Times New Roman" w:hAnsi="Times New Roman" w:eastAsia="Times New Roman" w:cs="Times New Roman"/>
          <w:b/>
          <w:i w:val="0"/>
          <w:color w:val="000000"/>
          <w:sz w:val="24"/>
        </w:rPr>
        <w:t>3. Retrieve evidence for one question</w:t>
      </w:r>
    </w:p>
    <w:p>
      <w:r>
        <w:rPr>
          <w:rFonts w:ascii="Times New Roman" w:hAnsi="Times New Roman" w:eastAsia="Times New Roman" w:cs="Times New Roman"/>
          <w:b w:val="0"/>
          <w:i w:val="0"/>
          <w:color w:val="000000"/>
          <w:sz w:val="24"/>
        </w:rPr>
        <w:t>A metric definition identifies relevant passages from the saved index. The retrieval step preserves table headings and nearby footnotes. For effective fees, it removes repeated context and excludes unrelated legal waiver language. Custom metrics use a user-written definition, units, scope and search phrases; they currently support reported values, not arbitrary formulas.</w:t>
      </w:r>
    </w:p>
    <w:p>
      <w:pPr>
        <w:pStyle w:val="Heading2"/>
      </w:pPr>
      <w:r>
        <w:rPr>
          <w:rFonts w:ascii="Times New Roman" w:hAnsi="Times New Roman" w:eastAsia="Times New Roman" w:cs="Times New Roman"/>
          <w:b/>
          <w:i w:val="0"/>
          <w:color w:val="000000"/>
          <w:sz w:val="24"/>
        </w:rPr>
        <w:t>4. Let the LLM interpret; let code check</w:t>
      </w:r>
    </w:p>
    <w:p>
      <w:r>
        <w:rPr>
          <w:rFonts w:ascii="Times New Roman" w:hAnsi="Times New Roman" w:eastAsia="Times New Roman" w:cs="Times New Roman"/>
          <w:b w:val="0"/>
          <w:i w:val="0"/>
          <w:color w:val="000000"/>
          <w:sz w:val="24"/>
        </w:rPr>
        <w:t>GPT-6.1 Sol receives the evidence and comparison rules for one result. It selects a value or explains why it cannot, with numbered source references. Code then checks those references and the proposed dates, units and calculations. The next page describes that division of work.</w:t>
      </w:r>
    </w:p>
    <w:p>
      <w:pPr>
        <w:pStyle w:val="Heading2"/>
      </w:pPr>
      <w:r>
        <w:rPr>
          <w:rFonts w:ascii="Times New Roman" w:hAnsi="Times New Roman" w:eastAsia="Times New Roman" w:cs="Times New Roman"/>
          <w:b/>
          <w:i w:val="0"/>
          <w:color w:val="000000"/>
          <w:sz w:val="24"/>
        </w:rPr>
        <w:t>5. Save the decision, then produce the report</w:t>
      </w:r>
    </w:p>
    <w:p>
      <w:r>
        <w:rPr>
          <w:rFonts w:ascii="Times New Roman" w:hAnsi="Times New Roman" w:eastAsia="Times New Roman" w:cs="Times New Roman"/>
          <w:b w:val="0"/>
          <w:i w:val="0"/>
          <w:color w:val="000000"/>
          <w:sz w:val="24"/>
        </w:rPr>
        <w:t>The dashboard and formatted Word package read saved decisions. Each result retains its source, date, financial definition and rationale. CSV, PDF and JSON exports are also available. Opening a report or downloading Word does not call the model or repeat extraction.</w:t>
      </w:r>
    </w:p>
    <w:p>
      <w:r>
        <w:br w:type="page"/>
      </w:r>
    </w:p>
    <w:p>
      <w:pPr>
        <w:pStyle w:val="Title"/>
      </w:pPr>
      <w:r>
        <w:rPr>
          <w:rFonts w:ascii="Times New Roman" w:hAnsi="Times New Roman" w:eastAsia="Times New Roman" w:cs="Times New Roman"/>
          <w:b/>
          <w:i w:val="0"/>
          <w:color w:val="000000"/>
          <w:sz w:val="24"/>
        </w:rPr>
        <w:t>Selecting and checking values</w:t>
      </w:r>
    </w:p>
    <w:p>
      <w:pPr>
        <w:pStyle w:val="Subtitle"/>
      </w:pPr>
      <w:r>
        <w:rPr>
          <w:rFonts w:ascii="Times New Roman" w:hAnsi="Times New Roman" w:eastAsia="Times New Roman" w:cs="Times New Roman"/>
          <w:b w:val="0"/>
          <w:i w:val="0"/>
          <w:color w:val="000000"/>
          <w:sz w:val="24"/>
        </w:rPr>
        <w:t>The model makes the interpretation visible. It does not approve the board package.</w:t>
      </w:r>
    </w:p>
    <w:p>
      <w:pPr>
        <w:pStyle w:val="Heading2"/>
      </w:pPr>
      <w:r>
        <w:rPr>
          <w:rFonts w:ascii="Times New Roman" w:hAnsi="Times New Roman" w:eastAsia="Times New Roman" w:cs="Times New Roman"/>
          <w:b/>
          <w:i w:val="0"/>
          <w:color w:val="000000"/>
          <w:sz w:val="24"/>
        </w:rPr>
        <w:t>What the LLM is responsible for</w:t>
      </w:r>
    </w:p>
    <w:p>
      <w:r>
        <w:rPr>
          <w:rFonts w:ascii="Times New Roman" w:hAnsi="Times New Roman" w:eastAsia="Times New Roman" w:cs="Times New Roman"/>
          <w:b w:val="0"/>
          <w:i w:val="0"/>
          <w:color w:val="000000"/>
          <w:sz w:val="24"/>
        </w:rPr>
        <w:t>Sol interprets the disclosures, compares competing figures and explains its choice. It uses OpenAI's Responses API with structured JSON output and store=false. Only public SEC evidence enters requests. Each affected result gets one initial review; there is no routine second LLM verifier. A failed code check permits one correction attempt, with both attempts retained.</w:t>
      </w:r>
    </w:p>
    <w:p>
      <w:pPr>
        <w:pStyle w:val="Heading2"/>
      </w:pPr>
      <w:r>
        <w:rPr>
          <w:rFonts w:ascii="Times New Roman" w:hAnsi="Times New Roman" w:eastAsia="Times New Roman" w:cs="Times New Roman"/>
          <w:b/>
          <w:i w:val="0"/>
          <w:color w:val="000000"/>
          <w:sz w:val="24"/>
        </w:rPr>
        <w:t>What the code verifies</w:t>
      </w:r>
    </w:p>
    <w:p>
      <w:r>
        <w:rPr>
          <w:rFonts w:ascii="Times New Roman" w:hAnsi="Times New Roman" w:eastAsia="Times New Roman" w:cs="Times New Roman"/>
          <w:b w:val="0"/>
          <w:i w:val="0"/>
          <w:color w:val="000000"/>
          <w:sz w:val="24"/>
        </w:rPr>
        <w:t>The model selects numbered passages; code restores their exact saved text. It checks source fingerprints, filing dates, values, periods, units and share classes. Calculations must use implemented formulas with cited inputs. These checks catch invalid references and unsupported calculations, but cannot prove every financial interpretation is right.</w:t>
      </w:r>
    </w:p>
    <w:p>
      <w:pPr>
        <w:pStyle w:val="Heading2"/>
      </w:pPr>
      <w:r>
        <w:rPr>
          <w:rFonts w:ascii="Times New Roman" w:hAnsi="Times New Roman" w:eastAsia="Times New Roman" w:cs="Times New Roman"/>
          <w:b/>
          <w:i w:val="0"/>
          <w:color w:val="000000"/>
          <w:sz w:val="24"/>
        </w:rPr>
        <w:t>How confidence appears in the output</w:t>
      </w:r>
    </w:p>
    <w:p>
      <w:r>
        <w:rPr>
          <w:rFonts w:ascii="Times New Roman" w:hAnsi="Times New Roman" w:eastAsia="Times New Roman" w:cs="Times New Roman"/>
          <w:b w:val="0"/>
          <w:i w:val="0"/>
          <w:color w:val="000000"/>
          <w:sz w:val="24"/>
        </w:rPr>
        <w:t>I use evidence status and a written rationale, not high/medium/low grades. A supported value has source links. A blank distinguishes no retrieved evidence, unfinished or failed review, and a reviewed but unestablished value. A failed search is not labeled "not disclosed."</w:t>
      </w:r>
    </w:p>
    <w:p>
      <w:pPr>
        <w:pStyle w:val="Heading2"/>
      </w:pPr>
      <w:r>
        <w:rPr>
          <w:rFonts w:ascii="Times New Roman" w:hAnsi="Times New Roman" w:eastAsia="Times New Roman" w:cs="Times New Roman"/>
          <w:b/>
          <w:i w:val="0"/>
          <w:color w:val="000000"/>
          <w:sz w:val="24"/>
        </w:rPr>
        <w:t>A concrete example: Golub management fees</w:t>
      </w:r>
    </w:p>
    <w:tbl>
      <w:tblPr>
        <w:tblW w:type="auto" w:w="0"/>
        <w:jc w:val="center"/>
        <w:tblLayout w:type="fixed"/>
        <w:tblLook w:firstColumn="1" w:firstRow="1" w:lastColumn="0" w:lastRow="0" w:noHBand="0" w:noVBand="1" w:val="04A0"/>
      </w:tblPr>
      <w:tblGrid>
        <w:gridCol w:w="2900"/>
        <w:gridCol w:w="1060"/>
        <w:gridCol w:w="5066"/>
      </w:tblGrid>
      <w:tr>
        <w:trPr>
          <w:cantSplit/>
          <w:tblHeader/>
        </w:trPr>
        <w:tc>
          <w:tcPr>
            <w:tcW w:type="dxa" w:w="29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2F2"/>
          </w:tcPr>
          <w:p>
            <w:pPr>
              <w:spacing w:after="0"/>
            </w:pPr>
            <w:r>
              <w:rPr>
                <w:rFonts w:ascii="Times New Roman" w:hAnsi="Times New Roman" w:eastAsia="Times New Roman" w:cs="Times New Roman"/>
                <w:b/>
                <w:i w:val="0"/>
                <w:color w:val="000000"/>
                <w:sz w:val="24"/>
              </w:rPr>
              <w:t>Disclosure</w:t>
            </w:r>
          </w:p>
        </w:tc>
        <w:tc>
          <w:tcPr>
            <w:tcW w:type="dxa" w:w="10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2F2"/>
          </w:tcPr>
          <w:p>
            <w:pPr>
              <w:spacing w:after="0"/>
              <w:jc w:val="center"/>
            </w:pPr>
            <w:r>
              <w:rPr>
                <w:rFonts w:ascii="Times New Roman" w:hAnsi="Times New Roman" w:eastAsia="Times New Roman" w:cs="Times New Roman"/>
                <w:b/>
                <w:i w:val="0"/>
                <w:color w:val="000000"/>
                <w:sz w:val="24"/>
              </w:rPr>
              <w:t>Figure</w:t>
            </w:r>
          </w:p>
        </w:tc>
        <w:tc>
          <w:tcPr>
            <w:tcW w:type="dxa" w:w="50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2F2"/>
          </w:tcPr>
          <w:p>
            <w:pPr>
              <w:spacing w:after="0"/>
            </w:pPr>
            <w:r>
              <w:rPr>
                <w:rFonts w:ascii="Times New Roman" w:hAnsi="Times New Roman" w:eastAsia="Times New Roman" w:cs="Times New Roman"/>
                <w:b/>
                <w:i w:val="0"/>
                <w:color w:val="000000"/>
                <w:sz w:val="24"/>
              </w:rPr>
              <w:t>How it is treated</w:t>
            </w:r>
          </w:p>
        </w:tc>
      </w:tr>
      <w:tr>
        <w:trPr>
          <w:cantSplit/>
        </w:trPr>
        <w:tc>
          <w:tcPr>
            <w:tcW w:type="dxa" w:w="29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rFonts w:ascii="Times New Roman" w:hAnsi="Times New Roman" w:eastAsia="Times New Roman" w:cs="Times New Roman"/>
                <w:b w:val="0"/>
                <w:i w:val="0"/>
                <w:color w:val="000000"/>
                <w:sz w:val="24"/>
              </w:rPr>
              <w:t>Contractual management fee</w:t>
            </w:r>
          </w:p>
        </w:tc>
        <w:tc>
          <w:tcPr>
            <w:tcW w:type="dxa" w:w="10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rFonts w:ascii="Times New Roman" w:hAnsi="Times New Roman" w:eastAsia="Times New Roman" w:cs="Times New Roman"/>
                <w:b w:val="0"/>
                <w:i w:val="0"/>
                <w:color w:val="000000"/>
                <w:sz w:val="24"/>
              </w:rPr>
              <w:t>1.00%</w:t>
            </w:r>
          </w:p>
        </w:tc>
        <w:tc>
          <w:tcPr>
            <w:tcW w:type="dxa" w:w="50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rFonts w:ascii="Times New Roman" w:hAnsi="Times New Roman" w:eastAsia="Times New Roman" w:cs="Times New Roman"/>
                <w:b w:val="0"/>
                <w:i w:val="0"/>
                <w:color w:val="000000"/>
                <w:sz w:val="24"/>
              </w:rPr>
              <w:t>Kept as the primary contractual rate, on average adjusted gross assets.</w:t>
            </w:r>
          </w:p>
        </w:tc>
      </w:tr>
      <w:tr>
        <w:trPr>
          <w:cantSplit/>
        </w:trPr>
        <w:tc>
          <w:tcPr>
            <w:tcW w:type="dxa" w:w="29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rFonts w:ascii="Times New Roman" w:hAnsi="Times New Roman" w:eastAsia="Times New Roman" w:cs="Times New Roman"/>
                <w:b w:val="0"/>
                <w:i w:val="0"/>
                <w:color w:val="000000"/>
                <w:sz w:val="24"/>
              </w:rPr>
              <w:t>Annual management-fee expense ratio</w:t>
            </w:r>
          </w:p>
        </w:tc>
        <w:tc>
          <w:tcPr>
            <w:tcW w:type="dxa" w:w="10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rFonts w:ascii="Times New Roman" w:hAnsi="Times New Roman" w:eastAsia="Times New Roman" w:cs="Times New Roman"/>
                <w:b w:val="0"/>
                <w:i w:val="0"/>
                <w:color w:val="000000"/>
                <w:sz w:val="24"/>
              </w:rPr>
              <w:t>1.56%</w:t>
            </w:r>
          </w:p>
        </w:tc>
        <w:tc>
          <w:tcPr>
            <w:tcW w:type="dxa" w:w="50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rFonts w:ascii="Times New Roman" w:hAnsi="Times New Roman" w:eastAsia="Times New Roman" w:cs="Times New Roman"/>
                <w:b w:val="0"/>
                <w:i w:val="0"/>
                <w:color w:val="000000"/>
                <w:sz w:val="24"/>
              </w:rPr>
              <w:t>Separate effective-fee observation for September 30, 2024, on period-end net assets attributable to common stock.</w:t>
            </w:r>
          </w:p>
        </w:tc>
      </w:tr>
      <w:tr>
        <w:trPr>
          <w:cantSplit/>
        </w:trPr>
        <w:tc>
          <w:tcPr>
            <w:tcW w:type="dxa" w:w="29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rFonts w:ascii="Times New Roman" w:hAnsi="Times New Roman" w:eastAsia="Times New Roman" w:cs="Times New Roman"/>
                <w:b w:val="0"/>
                <w:i w:val="0"/>
                <w:color w:val="000000"/>
                <w:sz w:val="24"/>
              </w:rPr>
              <w:t>Older expense table in a prospectus</w:t>
            </w:r>
          </w:p>
        </w:tc>
        <w:tc>
          <w:tcPr>
            <w:tcW w:type="dxa" w:w="10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rFonts w:ascii="Times New Roman" w:hAnsi="Times New Roman" w:eastAsia="Times New Roman" w:cs="Times New Roman"/>
                <w:b w:val="0"/>
                <w:i w:val="0"/>
                <w:color w:val="000000"/>
                <w:sz w:val="24"/>
              </w:rPr>
              <w:t>2.75%</w:t>
            </w:r>
          </w:p>
        </w:tc>
        <w:tc>
          <w:tcPr>
            <w:tcW w:type="dxa" w:w="50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rFonts w:ascii="Times New Roman" w:hAnsi="Times New Roman" w:eastAsia="Times New Roman" w:cs="Times New Roman"/>
                <w:b w:val="0"/>
                <w:i w:val="0"/>
                <w:color w:val="000000"/>
                <w:sz w:val="24"/>
              </w:rPr>
              <w:t>Not selected: its footnote refers to March 2022 and excludes a one-time waiver.</w:t>
            </w:r>
          </w:p>
        </w:tc>
      </w:tr>
    </w:tbl>
    <w:p>
      <w:pPr>
        <w:spacing w:after="0"/>
      </w:pPr>
    </w:p>
    <w:p>
      <w:pPr/>
      <w:r>
        <w:rPr>
          <w:rFonts w:ascii="Times New Roman" w:hAnsi="Times New Roman" w:eastAsia="Times New Roman" w:cs="Times New Roman"/>
          <w:b w:val="0"/>
          <w:i w:val="0"/>
          <w:color w:val="000000"/>
          <w:sz w:val="24"/>
        </w:rPr>
        <w:t>Sol selected 1.56% with the older date and different denominator; GPT-5.4 had withheld it. That is an improvement in one case, not a general accuracy claim.</w:t>
      </w:r>
    </w:p>
    <w:p>
      <w:pPr/>
      <w:r>
        <w:rPr>
          <w:rFonts w:ascii="Times New Roman" w:hAnsi="Times New Roman" w:eastAsia="Times New Roman" w:cs="Times New Roman"/>
          <w:b w:val="0"/>
          <w:i w:val="0"/>
          <w:color w:val="000000"/>
          <w:sz w:val="24"/>
        </w:rPr>
        <w:t xml:space="preserve">Sources: Golub's </w:t>
      </w:r>
      <w:hyperlink r:id="rId9">
        <w:r>
          <w:rPr>
            <w:rFonts w:ascii="Times New Roman" w:hAnsi="Times New Roman" w:eastAsia="Times New Roman" w:cs="Times New Roman"/>
            <w:b w:val="0"/>
            <w:i w:val="0"/>
            <w:color w:val="000000"/>
            <w:sz w:val="24"/>
            <w:u w:val="single"/>
          </w:rPr>
          <w:t>2024 annual report, Fees and Expenses, footnote 4</w:t>
        </w:r>
      </w:hyperlink>
      <w:r>
        <w:rPr>
          <w:rFonts w:ascii="Times New Roman" w:hAnsi="Times New Roman" w:eastAsia="Times New Roman" w:cs="Times New Roman"/>
          <w:b w:val="0"/>
          <w:i w:val="0"/>
          <w:color w:val="000000"/>
          <w:sz w:val="24"/>
        </w:rPr>
        <w:t xml:space="preserve">, and </w:t>
      </w:r>
      <w:hyperlink r:id="rId10">
        <w:r>
          <w:rPr>
            <w:rFonts w:ascii="Times New Roman" w:hAnsi="Times New Roman" w:eastAsia="Times New Roman" w:cs="Times New Roman"/>
            <w:b w:val="0"/>
            <w:i w:val="0"/>
            <w:color w:val="000000"/>
            <w:sz w:val="24"/>
            <w:u w:val="single"/>
          </w:rPr>
          <w:t>November 2024 prospectus, fee-table footnote 4</w:t>
        </w:r>
      </w:hyperlink>
      <w:r>
        <w:rPr>
          <w:rFonts w:ascii="Times New Roman" w:hAnsi="Times New Roman" w:eastAsia="Times New Roman" w:cs="Times New Roman"/>
          <w:b w:val="0"/>
          <w:i w:val="0"/>
          <w:color w:val="000000"/>
          <w:sz w:val="24"/>
        </w:rPr>
        <w:t>. Full passages and the trial result are retained in the audit.</w:t>
      </w:r>
    </w:p>
    <w:p>
      <w:pPr>
        <w:pStyle w:val="Heading2"/>
      </w:pPr>
      <w:r>
        <w:rPr>
          <w:rFonts w:ascii="Times New Roman" w:hAnsi="Times New Roman" w:eastAsia="Times New Roman" w:cs="Times New Roman"/>
          <w:b/>
          <w:i w:val="0"/>
          <w:color w:val="000000"/>
          <w:sz w:val="24"/>
        </w:rPr>
        <w:t>When two figures really conflict</w:t>
      </w:r>
    </w:p>
    <w:p>
      <w:r>
        <w:rPr>
          <w:rFonts w:ascii="Times New Roman" w:hAnsi="Times New Roman" w:eastAsia="Times New Roman" w:cs="Times New Roman"/>
          <w:b w:val="0"/>
          <w:i w:val="0"/>
          <w:color w:val="000000"/>
          <w:sz w:val="24"/>
        </w:rPr>
        <w:t>Different periods or fee bases may explain a difference. Temporary waivers retain their stated expiration. For the same measure, period and class, the model needs an explicit correction or explanation; a newer filing alone is not enough. Unresolved conflicts show both figures and citations for PM review, with no accepted value.</w:t>
      </w:r>
    </w:p>
    <w:p>
      <w:r>
        <w:br w:type="page"/>
      </w:r>
    </w:p>
    <w:p>
      <w:pPr>
        <w:pStyle w:val="Title"/>
      </w:pPr>
      <w:r>
        <w:rPr>
          <w:rFonts w:ascii="Times New Roman" w:hAnsi="Times New Roman" w:eastAsia="Times New Roman" w:cs="Times New Roman"/>
          <w:b/>
          <w:i w:val="0"/>
          <w:color w:val="000000"/>
          <w:sz w:val="24"/>
        </w:rPr>
        <w:t>Validation and remaining work</w:t>
      </w:r>
    </w:p>
    <w:p>
      <w:pPr>
        <w:pStyle w:val="Subtitle"/>
      </w:pPr>
      <w:r>
        <w:rPr>
          <w:rFonts w:ascii="Times New Roman" w:hAnsi="Times New Roman" w:eastAsia="Times New Roman" w:cs="Times New Roman"/>
          <w:b w:val="0"/>
          <w:i w:val="0"/>
          <w:color w:val="000000"/>
          <w:sz w:val="24"/>
        </w:rPr>
        <w:t>Measured behavior, current limits, and the steps I would take before production.</w:t>
      </w:r>
    </w:p>
    <w:p>
      <w:pPr>
        <w:pStyle w:val="Heading2"/>
      </w:pPr>
      <w:r>
        <w:rPr>
          <w:rFonts w:ascii="Times New Roman" w:hAnsi="Times New Roman" w:eastAsia="Times New Roman" w:cs="Times New Roman"/>
          <w:b/>
          <w:i w:val="0"/>
          <w:color w:val="000000"/>
          <w:sz w:val="24"/>
        </w:rPr>
        <w:t>Small changes should stay small</w:t>
      </w:r>
    </w:p>
    <w:p>
      <w:r>
        <w:rPr>
          <w:rFonts w:ascii="Times New Roman" w:hAnsi="Times New Roman" w:eastAsia="Times New Roman" w:cs="Times New Roman"/>
          <w:b w:val="0"/>
          <w:i w:val="0"/>
          <w:color w:val="000000"/>
          <w:sz w:val="24"/>
        </w:rPr>
        <w:t>Changing a custom metric searches saved passages and reviews only that metric. Adding a fund processes that fund; an SEC refresh compares filing inventories before ingesting changes. Independent reviews run with a limit of three concurrent requests by default. Decisions are checkpointed for reuse. Changing the default model does not silently rerun existing decisions; those keep their original model provenance.</w:t>
      </w:r>
    </w:p>
    <w:p>
      <w:pPr>
        <w:pStyle w:val="Heading2"/>
      </w:pPr>
      <w:r>
        <w:rPr>
          <w:rFonts w:ascii="Times New Roman" w:hAnsi="Times New Roman" w:eastAsia="Times New Roman" w:cs="Times New Roman"/>
          <w:b/>
          <w:i w:val="0"/>
          <w:color w:val="000000"/>
          <w:sz w:val="24"/>
        </w:rPr>
        <w:t>Measured runs</w:t>
      </w:r>
    </w:p>
    <w:tbl>
      <w:tblPr>
        <w:tblW w:type="auto" w:w="0"/>
        <w:jc w:val="center"/>
        <w:tblLayout w:type="fixed"/>
        <w:tblLook w:firstColumn="1" w:firstRow="1" w:lastColumn="0" w:lastRow="0" w:noHBand="0" w:noVBand="1" w:val="04A0"/>
      </w:tblPr>
      <w:tblGrid>
        <w:gridCol w:w="3320"/>
        <w:gridCol w:w="1240"/>
        <w:gridCol w:w="4466"/>
      </w:tblGrid>
      <w:tr>
        <w:trPr>
          <w:cantSplit/>
          <w:tblHeader/>
        </w:trPr>
        <w:tc>
          <w:tcPr>
            <w:tcW w:type="dxa" w:w="3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2F2"/>
          </w:tcPr>
          <w:p>
            <w:pPr>
              <w:spacing w:after="0"/>
            </w:pPr>
            <w:r>
              <w:rPr>
                <w:rFonts w:ascii="Times New Roman" w:hAnsi="Times New Roman" w:eastAsia="Times New Roman" w:cs="Times New Roman"/>
                <w:b/>
                <w:i w:val="0"/>
                <w:color w:val="000000"/>
                <w:sz w:val="24"/>
              </w:rPr>
              <w:t>Operation</w:t>
            </w:r>
          </w:p>
        </w:tc>
        <w:tc>
          <w:tcPr>
            <w:tcW w:type="dxa" w:w="12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2F2"/>
          </w:tcPr>
          <w:p>
            <w:pPr>
              <w:spacing w:after="0"/>
              <w:jc w:val="center"/>
            </w:pPr>
            <w:r>
              <w:rPr>
                <w:rFonts w:ascii="Times New Roman" w:hAnsi="Times New Roman" w:eastAsia="Times New Roman" w:cs="Times New Roman"/>
                <w:b/>
                <w:i w:val="0"/>
                <w:color w:val="000000"/>
                <w:sz w:val="24"/>
              </w:rPr>
              <w:t>Time</w:t>
            </w:r>
          </w:p>
        </w:tc>
        <w:tc>
          <w:tcPr>
            <w:tcW w:type="dxa" w:w="4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2F2"/>
          </w:tcPr>
          <w:p>
            <w:pPr>
              <w:spacing w:after="0"/>
            </w:pPr>
            <w:r>
              <w:rPr>
                <w:rFonts w:ascii="Times New Roman" w:hAnsi="Times New Roman" w:eastAsia="Times New Roman" w:cs="Times New Roman"/>
                <w:b/>
                <w:i w:val="0"/>
                <w:color w:val="000000"/>
                <w:sz w:val="24"/>
              </w:rPr>
              <w:t>Work performed</w:t>
            </w:r>
          </w:p>
        </w:tc>
      </w:tr>
      <w:tr>
        <w:trPr>
          <w:cantSplit/>
        </w:trPr>
        <w:tc>
          <w:tcPr>
            <w:tcW w:type="dxa" w:w="3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rFonts w:ascii="Times New Roman" w:hAnsi="Times New Roman" w:eastAsia="Times New Roman" w:cs="Times New Roman"/>
                <w:b w:val="0"/>
                <w:i w:val="0"/>
                <w:color w:val="000000"/>
                <w:sz w:val="24"/>
              </w:rPr>
              <w:t>Unchanged SEC refresh</w:t>
            </w:r>
          </w:p>
        </w:tc>
        <w:tc>
          <w:tcPr>
            <w:tcW w:type="dxa" w:w="12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rFonts w:ascii="Times New Roman" w:hAnsi="Times New Roman" w:eastAsia="Times New Roman" w:cs="Times New Roman"/>
                <w:b w:val="0"/>
                <w:i w:val="0"/>
                <w:color w:val="000000"/>
                <w:sz w:val="24"/>
              </w:rPr>
              <w:t>4.8 sec</w:t>
            </w:r>
          </w:p>
        </w:tc>
        <w:tc>
          <w:tcPr>
            <w:tcW w:type="dxa" w:w="4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rFonts w:ascii="Times New Roman" w:hAnsi="Times New Roman" w:eastAsia="Times New Roman" w:cs="Times New Roman"/>
                <w:b w:val="0"/>
                <w:i w:val="0"/>
                <w:color w:val="000000"/>
                <w:sz w:val="24"/>
              </w:rPr>
              <w:t>267 unchanged filings reused; no parsing or AI calls.</w:t>
            </w:r>
          </w:p>
        </w:tc>
      </w:tr>
      <w:tr>
        <w:trPr>
          <w:cantSplit/>
        </w:trPr>
        <w:tc>
          <w:tcPr>
            <w:tcW w:type="dxa" w:w="3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rFonts w:ascii="Times New Roman" w:hAnsi="Times New Roman" w:eastAsia="Times New Roman" w:cs="Times New Roman"/>
                <w:b w:val="0"/>
                <w:i w:val="0"/>
                <w:color w:val="000000"/>
                <w:sz w:val="24"/>
              </w:rPr>
              <w:t>Spread-only metric update</w:t>
            </w:r>
          </w:p>
        </w:tc>
        <w:tc>
          <w:tcPr>
            <w:tcW w:type="dxa" w:w="12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rFonts w:ascii="Times New Roman" w:hAnsi="Times New Roman" w:eastAsia="Times New Roman" w:cs="Times New Roman"/>
                <w:b w:val="0"/>
                <w:i w:val="0"/>
                <w:color w:val="000000"/>
                <w:sz w:val="24"/>
              </w:rPr>
              <w:t>17.6 sec</w:t>
            </w:r>
          </w:p>
        </w:tc>
        <w:tc>
          <w:tcPr>
            <w:tcW w:type="dxa" w:w="4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rFonts w:ascii="Times New Roman" w:hAnsi="Times New Roman" w:eastAsia="Times New Roman" w:cs="Times New Roman"/>
                <w:b w:val="0"/>
                <w:i w:val="0"/>
                <w:color w:val="000000"/>
                <w:sz w:val="24"/>
              </w:rPr>
              <w:t>3 model calls; no parsing; 100 other results unchanged.</w:t>
            </w:r>
          </w:p>
        </w:tc>
      </w:tr>
      <w:tr>
        <w:trPr>
          <w:cantSplit/>
        </w:trPr>
        <w:tc>
          <w:tcPr>
            <w:tcW w:type="dxa" w:w="3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rFonts w:ascii="Times New Roman" w:hAnsi="Times New Roman" w:eastAsia="Times New Roman" w:cs="Times New Roman"/>
                <w:b w:val="0"/>
                <w:i w:val="0"/>
                <w:color w:val="000000"/>
                <w:sz w:val="24"/>
              </w:rPr>
              <w:t>GBDC effective-fee trial with Sol</w:t>
            </w:r>
          </w:p>
        </w:tc>
        <w:tc>
          <w:tcPr>
            <w:tcW w:type="dxa" w:w="12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rFonts w:ascii="Times New Roman" w:hAnsi="Times New Roman" w:eastAsia="Times New Roman" w:cs="Times New Roman"/>
                <w:b w:val="0"/>
                <w:i w:val="0"/>
                <w:color w:val="000000"/>
                <w:sz w:val="24"/>
              </w:rPr>
              <w:t>18.9 sec</w:t>
            </w:r>
          </w:p>
        </w:tc>
        <w:tc>
          <w:tcPr>
            <w:tcW w:type="dxa" w:w="4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rFonts w:ascii="Times New Roman" w:hAnsi="Times New Roman" w:eastAsia="Times New Roman" w:cs="Times New Roman"/>
                <w:b w:val="0"/>
                <w:i w:val="0"/>
                <w:color w:val="000000"/>
                <w:sz w:val="24"/>
              </w:rPr>
              <w:t>1 model call; no parsing; 104 other results unchanged.</w:t>
            </w:r>
          </w:p>
        </w:tc>
      </w:tr>
    </w:tbl>
    <w:p>
      <w:pPr>
        <w:spacing w:after="0"/>
      </w:pPr>
    </w:p>
    <w:p>
      <w:pPr/>
      <w:r>
        <w:rPr>
          <w:rFonts w:ascii="Times New Roman" w:hAnsi="Times New Roman" w:eastAsia="Times New Roman" w:cs="Times New Roman"/>
          <w:b w:val="0"/>
          <w:i w:val="0"/>
          <w:color w:val="000000"/>
          <w:sz w:val="24"/>
        </w:rPr>
        <w:t>These are measured updates to already indexed funds, not a guarantee that a new fund can be ingested in five minutes. The Sol trial cost an estimated $0.44. GPT-5.4 took 12.6 seconds on the fee case, so Sol improved that interpretation but was not faster.</w:t>
      </w:r>
    </w:p>
    <w:p>
      <w:pPr>
        <w:pStyle w:val="Heading2"/>
      </w:pPr>
      <w:r>
        <w:rPr>
          <w:rFonts w:ascii="Times New Roman" w:hAnsi="Times New Roman" w:eastAsia="Times New Roman" w:cs="Times New Roman"/>
          <w:b/>
          <w:i w:val="0"/>
          <w:color w:val="000000"/>
          <w:sz w:val="24"/>
        </w:rPr>
        <w:t>How I tested without an answer key</w:t>
      </w:r>
    </w:p>
    <w:p>
      <w:r>
        <w:rPr>
          <w:rFonts w:ascii="Times New Roman" w:hAnsi="Times New Roman" w:eastAsia="Times New Roman" w:cs="Times New Roman"/>
          <w:b w:val="0"/>
          <w:i w:val="0"/>
          <w:color w:val="000000"/>
          <w:sz w:val="24"/>
        </w:rPr>
        <w:t>The 143 passing tests cover source validation, dates, classes, tables, numeric punctuation, calculations, conflicts and reuse. I checked real disclosures and corrected errors, including a hurdle rate mistaken for an incentive fee. N-PORT checks reconcile assets less liabilities to net assets. The main report has 41/65 current values and 32/40 historical observations with evidence; the separate Sol trial adds one current value. Coverage is not accuracy. A full Sol rerun remains outstanding.</w:t>
      </w:r>
    </w:p>
    <w:p>
      <w:pPr>
        <w:pStyle w:val="Heading2"/>
      </w:pPr>
      <w:r>
        <w:rPr>
          <w:rFonts w:ascii="Times New Roman" w:hAnsi="Times New Roman" w:eastAsia="Times New Roman" w:cs="Times New Roman"/>
          <w:b/>
          <w:i w:val="0"/>
          <w:color w:val="000000"/>
          <w:sz w:val="24"/>
        </w:rPr>
        <w:t>Limits that still matter</w:t>
      </w:r>
    </w:p>
    <w:p>
      <w:r>
        <w:rPr>
          <w:rFonts w:ascii="Times New Roman" w:hAnsi="Times New Roman" w:eastAsia="Times New Roman" w:cs="Times New Roman"/>
          <w:b w:val="0"/>
          <w:i w:val="0"/>
          <w:color w:val="000000"/>
          <w:sz w:val="24"/>
        </w:rPr>
        <w:t>Search phrases and unfamiliar layouts can leave relevant evidence undiscovered; a complete selected packet does not mean the model read every filing. OCR still needs human review. Fee, leverage and distribution definitions are not always comparable across funds. Listed vehicles use shareholder returns, interval funds use net NAV returns, and KREF is a mortgage REIT. Custom XML mappings and arbitrary custom calculations are not implemented. SEC or model failures remain visible review items.</w:t>
      </w:r>
    </w:p>
    <w:p>
      <w:pPr>
        <w:pStyle w:val="Heading2"/>
      </w:pPr>
      <w:r>
        <w:rPr>
          <w:rFonts w:ascii="Times New Roman" w:hAnsi="Times New Roman" w:eastAsia="Times New Roman" w:cs="Times New Roman"/>
          <w:b/>
          <w:i w:val="0"/>
          <w:color w:val="000000"/>
          <w:sz w:val="24"/>
        </w:rPr>
        <w:t>What I would do before production</w:t>
      </w:r>
    </w:p>
    <w:p>
      <w:r>
        <w:rPr>
          <w:rFonts w:ascii="Times New Roman" w:hAnsi="Times New Roman" w:eastAsia="Times New Roman" w:cs="Times New Roman"/>
          <w:b w:val="0"/>
          <w:i w:val="0"/>
          <w:color w:val="000000"/>
          <w:sz w:val="24"/>
        </w:rPr>
        <w:t>Resolve Apex Ridge's data with Dana, then run a quarter alongside the analyst with Sol. Have the PM and compliance check sampled values and material exceptions to measure accuracy and review effort. Before routine use, add authenticated approvals, versioned source storage and failure alerts. Today, review decisions are recorded locally.</w:t>
      </w:r>
    </w:p>
    <w:p>
      <w:pPr/>
      <w:r>
        <w:rPr>
          <w:rFonts w:ascii="Times New Roman" w:hAnsi="Times New Roman" w:eastAsia="Times New Roman" w:cs="Times New Roman"/>
          <w:b w:val="0"/>
          <w:i w:val="0"/>
          <w:color w:val="000000"/>
          <w:sz w:val="24"/>
        </w:rPr>
        <w:t>Reproduce the runs using README.md. Timing and validation records: docs/incremental-validation.json, docs/gap-repair-validation.json and docs/sol61-model-trial.json.</w:t>
      </w:r>
    </w:p>
    <w:sectPr w:rsidR="00FC693F" w:rsidRPr="0006063C" w:rsidSect="00034616">
      <w:footerReference w:type="default" r:id="rId11"/>
      <w:pgSz w:w="11905"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rFonts w:ascii="Times New Roman" w:hAnsi="Times New Roman" w:eastAsia="Times New Roman" w:cs="Times New Roman"/>
          <w:b w:val="0"/>
          <w:i w:val="0"/>
          <w:color w:val="000000"/>
          <w:sz w:val="24"/>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120"/>
    </w:pPr>
    <w:rPr>
      <w:rFonts w:ascii="Times New Roman" w:hAnsi="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240" w:lineRule="auto"/>
      <w:outlineLvl w:val="0"/>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100" w:after="120" w:line="240" w:lineRule="auto"/>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Times New Roman" w:hAnsi="Times New Roman"/>
      <w:b/>
      <w:i w:val="0"/>
      <w:color w:val="000000"/>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kern w:val="28"/>
      <w:sz w:val="52"/>
      <w:szCs w:val="52"/>
    </w:rPr>
  </w:style>
  <w:style w:type="paragraph" w:styleId="Subtitle">
    <w:name w:val="Subtitle"/>
    <w:basedOn w:val="Normal"/>
    <w:next w:val="Normal"/>
    <w:link w:val="SubtitleChar"/>
    <w:uiPriority w:val="11"/>
    <w:qFormat/>
    <w:rsid w:val="00FC693F"/>
    <w:pPr>
      <w:numPr>
        <w:ilvl w:val="1"/>
      </w:numPr>
      <w:spacing w:line="240" w:lineRule="auto" w:before="0" w:after="120"/>
    </w:pPr>
    <w:rPr>
      <w:rFonts w:asciiTheme="majorHAnsi" w:eastAsiaTheme="majorEastAsia" w:hAnsiTheme="majorHAnsi" w:cstheme="majorBidi" w:ascii="Times New Roman" w:hAnsi="Times New Roman"/>
      <w:b w:val="0"/>
      <w:i w:val="0"/>
      <w:iCs/>
      <w:color w:val="000000"/>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ec.gov/Archives/edgar/data/1476765/000147676524000132/gbdc-20240930.htm" TargetMode="External"/><Relationship Id="rId10" Type="http://schemas.openxmlformats.org/officeDocument/2006/relationships/hyperlink" Target="https://www.sec.gov/Archives/edgar/data/1476765/000110465924123193/gbdc-20241125xn2.htm"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 Ridge Capital Technical Approach</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