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5C99" w:rsidRDefault="00FE5C99" w:rsidP="00FE5C99">
      <w:pPr>
        <w:jc w:val="center"/>
        <w:rPr>
          <w:rFonts w:ascii="Arial Black" w:hAnsi="Arial Black"/>
          <w:sz w:val="56"/>
          <w:szCs w:val="56"/>
        </w:rPr>
      </w:pPr>
      <w:r w:rsidRPr="00FE5C99">
        <w:rPr>
          <w:rFonts w:ascii="Arial Black" w:hAnsi="Arial Black"/>
          <w:sz w:val="56"/>
          <w:szCs w:val="56"/>
        </w:rPr>
        <w:t>Final Report</w:t>
      </w:r>
    </w:p>
    <w:p w:rsidR="00FE5C99" w:rsidRDefault="00FE5C99" w:rsidP="00FE5C99">
      <w:p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>Student Lifestyle and Mental Health Analysis Across Education Levels</w:t>
      </w:r>
    </w:p>
    <w:p w:rsidR="00FE5C99" w:rsidRDefault="00FE5C99" w:rsidP="00FE5C99">
      <w:pPr>
        <w:rPr>
          <w:rFonts w:asciiTheme="minorBidi" w:hAnsiTheme="minorBidi"/>
          <w:sz w:val="32"/>
          <w:szCs w:val="32"/>
        </w:rPr>
      </w:pPr>
    </w:p>
    <w:p w:rsidR="00FE5C99" w:rsidRPr="00FE5C99" w:rsidRDefault="00FE5C99" w:rsidP="00FE5C99">
      <w:pPr>
        <w:rPr>
          <w:rFonts w:asciiTheme="minorBidi" w:hAnsiTheme="minorBidi"/>
          <w:b/>
          <w:bCs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Objective</w:t>
      </w:r>
    </w:p>
    <w:p w:rsidR="00FE5C99" w:rsidRDefault="00FE5C99" w:rsidP="00FE5C99">
      <w:p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 xml:space="preserve">The primary goal of this report is to </w:t>
      </w:r>
      <w:proofErr w:type="spellStart"/>
      <w:r w:rsidRPr="00FE5C99">
        <w:rPr>
          <w:rFonts w:asciiTheme="minorBidi" w:hAnsiTheme="minorBidi"/>
          <w:sz w:val="32"/>
          <w:szCs w:val="32"/>
        </w:rPr>
        <w:t>analyze</w:t>
      </w:r>
      <w:proofErr w:type="spellEnd"/>
      <w:r w:rsidRPr="00FE5C99">
        <w:rPr>
          <w:rFonts w:asciiTheme="minorBidi" w:hAnsiTheme="minorBidi"/>
          <w:sz w:val="32"/>
          <w:szCs w:val="32"/>
        </w:rPr>
        <w:t xml:space="preserve"> how different educational levels affect students' physical activity, screen time, sleep duration, and mental health. The insights can support targeted interventions and student well-being programs</w:t>
      </w:r>
    </w:p>
    <w:p w:rsidR="00FE5C99" w:rsidRPr="00FE5C99" w:rsidRDefault="00FE5C99" w:rsidP="00FE5C99">
      <w:pPr>
        <w:rPr>
          <w:rFonts w:asciiTheme="minorBidi" w:hAnsiTheme="minorBidi"/>
          <w:b/>
          <w:bCs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Key Visual Insights</w:t>
      </w:r>
    </w:p>
    <w:p w:rsidR="00FE5C99" w:rsidRPr="00FE5C99" w:rsidRDefault="00FE5C99" w:rsidP="00FE5C99">
      <w:pPr>
        <w:rPr>
          <w:rFonts w:asciiTheme="minorBidi" w:hAnsiTheme="minorBidi"/>
          <w:b/>
          <w:bCs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1. Physical Activity by Education Level</w:t>
      </w:r>
    </w:p>
    <w:p w:rsidR="00FE5C99" w:rsidRPr="00FE5C99" w:rsidRDefault="00FE5C99" w:rsidP="00FE5C99">
      <w:pPr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>Higher education students (MA, MSc, MTech) show significantly greater levels of physical activity compared to school-level students (Class 8–12).</w:t>
      </w:r>
    </w:p>
    <w:p w:rsidR="00FE5C99" w:rsidRPr="00FE5C99" w:rsidRDefault="00FE5C99" w:rsidP="00FE5C99">
      <w:pPr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>Class 8 and Class 12 students record the lowest physical activity, possibly due to academic pressure or lack of awareness.</w:t>
      </w:r>
    </w:p>
    <w:p w:rsidR="00FE5C99" w:rsidRPr="00FE5C99" w:rsidRDefault="00FE5C99" w:rsidP="00FE5C99">
      <w:pPr>
        <w:rPr>
          <w:rFonts w:asciiTheme="minorBidi" w:hAnsiTheme="minorBidi"/>
          <w:b/>
          <w:bCs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2. Screen Time vs Physical Activity</w:t>
      </w:r>
    </w:p>
    <w:p w:rsidR="00FE5C99" w:rsidRPr="00FE5C99" w:rsidRDefault="00FE5C99" w:rsidP="00FE5C99">
      <w:pPr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 xml:space="preserve">There is an evident </w:t>
      </w:r>
      <w:r w:rsidRPr="00FE5C99">
        <w:rPr>
          <w:rFonts w:asciiTheme="minorBidi" w:hAnsiTheme="minorBidi"/>
          <w:b/>
          <w:bCs/>
          <w:sz w:val="32"/>
          <w:szCs w:val="32"/>
        </w:rPr>
        <w:t>negative correlation</w:t>
      </w:r>
      <w:r w:rsidRPr="00FE5C99">
        <w:rPr>
          <w:rFonts w:asciiTheme="minorBidi" w:hAnsiTheme="minorBidi"/>
          <w:sz w:val="32"/>
          <w:szCs w:val="32"/>
        </w:rPr>
        <w:t xml:space="preserve"> between screen time and physical activity.</w:t>
      </w:r>
    </w:p>
    <w:p w:rsidR="00FE5C99" w:rsidRPr="00FE5C99" w:rsidRDefault="00FE5C99" w:rsidP="00FE5C99">
      <w:pPr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>As physical activity increases, screen time tends to decrease.</w:t>
      </w:r>
    </w:p>
    <w:p w:rsidR="00FE5C99" w:rsidRPr="00FE5C99" w:rsidRDefault="00FE5C99" w:rsidP="00FE5C99">
      <w:pPr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lastRenderedPageBreak/>
        <w:t>BTech and BA students exhibit frequent spikes in screen time, suggesting heavy academic or recreational digital use.</w:t>
      </w:r>
    </w:p>
    <w:p w:rsidR="00FE5C99" w:rsidRPr="00FE5C99" w:rsidRDefault="00FE5C99" w:rsidP="00FE5C99">
      <w:pPr>
        <w:rPr>
          <w:rFonts w:asciiTheme="minorBidi" w:hAnsiTheme="minorBidi"/>
          <w:b/>
          <w:bCs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3. Mental Health Distribution by Education Level and Gender</w:t>
      </w:r>
    </w:p>
    <w:p w:rsidR="00FE5C99" w:rsidRPr="00FE5C99" w:rsidRDefault="00FE5C99" w:rsidP="00FE5C99">
      <w:pPr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 xml:space="preserve">Mental health issues are more commonly reported by </w:t>
      </w:r>
      <w:r w:rsidRPr="00FE5C99">
        <w:rPr>
          <w:rFonts w:asciiTheme="minorBidi" w:hAnsiTheme="minorBidi"/>
          <w:b/>
          <w:bCs/>
          <w:sz w:val="32"/>
          <w:szCs w:val="32"/>
        </w:rPr>
        <w:t>female students</w:t>
      </w:r>
      <w:r w:rsidRPr="00FE5C99">
        <w:rPr>
          <w:rFonts w:asciiTheme="minorBidi" w:hAnsiTheme="minorBidi"/>
          <w:sz w:val="32"/>
          <w:szCs w:val="32"/>
        </w:rPr>
        <w:t>, especially in MTech and MSc levels.</w:t>
      </w:r>
    </w:p>
    <w:p w:rsidR="00FE5C99" w:rsidRPr="00FE5C99" w:rsidRDefault="00FE5C99" w:rsidP="00FE5C99">
      <w:pPr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>Class 8 and Class 12 students also show considerable mental health-related entries.</w:t>
      </w:r>
    </w:p>
    <w:p w:rsidR="00FE5C99" w:rsidRPr="00FE5C99" w:rsidRDefault="00FE5C99" w:rsidP="00FE5C99">
      <w:pPr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>Gender-based patterns call for focused mental health awareness and resources.</w:t>
      </w:r>
    </w:p>
    <w:p w:rsidR="00FE5C99" w:rsidRPr="00FE5C99" w:rsidRDefault="00FE5C99" w:rsidP="00FE5C99">
      <w:pPr>
        <w:rPr>
          <w:rFonts w:asciiTheme="minorBidi" w:hAnsiTheme="minorBidi"/>
          <w:b/>
          <w:bCs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4. Sleep Duration by Age</w:t>
      </w:r>
    </w:p>
    <w:p w:rsidR="00FE5C99" w:rsidRPr="00FE5C99" w:rsidRDefault="00FE5C99" w:rsidP="00FE5C99">
      <w:pPr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 xml:space="preserve">Students across all age groups (14–27 years) mostly report </w:t>
      </w:r>
      <w:r w:rsidRPr="00FE5C99">
        <w:rPr>
          <w:rFonts w:asciiTheme="minorBidi" w:hAnsiTheme="minorBidi"/>
          <w:b/>
          <w:bCs/>
          <w:sz w:val="32"/>
          <w:szCs w:val="32"/>
        </w:rPr>
        <w:t>6 to 8 hours of sleep</w:t>
      </w:r>
      <w:r w:rsidRPr="00FE5C99">
        <w:rPr>
          <w:rFonts w:asciiTheme="minorBidi" w:hAnsiTheme="minorBidi"/>
          <w:sz w:val="32"/>
          <w:szCs w:val="32"/>
        </w:rPr>
        <w:t>.</w:t>
      </w:r>
    </w:p>
    <w:p w:rsidR="00FE5C99" w:rsidRPr="00FE5C99" w:rsidRDefault="00FE5C99" w:rsidP="00FE5C99">
      <w:pPr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>Younger students (15–18) maintain consistent sleep schedules, while older students show slightly more variability.</w:t>
      </w:r>
    </w:p>
    <w:p w:rsidR="00FE5C99" w:rsidRPr="00FE5C99" w:rsidRDefault="00FE5C99" w:rsidP="00FE5C99">
      <w:pPr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sz w:val="32"/>
          <w:szCs w:val="32"/>
        </w:rPr>
        <w:t>Adequate sleep remains a common habit but still varies by academic pressure and age.</w:t>
      </w:r>
    </w:p>
    <w:p w:rsidR="00FE5C99" w:rsidRPr="00FE5C99" w:rsidRDefault="00FE5C99" w:rsidP="00FE5C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ml-IN"/>
          <w14:ligatures w14:val="none"/>
        </w:rPr>
        <w:t xml:space="preserve"> </w:t>
      </w:r>
      <w:r w:rsidRPr="00FE5C9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ml-IN"/>
          <w14:ligatures w14:val="none"/>
        </w:rPr>
        <w:t>5. Summary Statistics</w:t>
      </w:r>
    </w:p>
    <w:tbl>
      <w:tblPr>
        <w:tblW w:w="0" w:type="auto"/>
        <w:tblCellSpacing w:w="15" w:type="dxa"/>
        <w:tblInd w:w="6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1110"/>
      </w:tblGrid>
      <w:tr w:rsidR="00FE5C99" w:rsidRPr="00FE5C99" w:rsidTr="00FE5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l-IN"/>
                <w14:ligatures w14:val="none"/>
              </w:rPr>
              <w:t>Indicator</w:t>
            </w:r>
          </w:p>
        </w:tc>
        <w:tc>
          <w:tcPr>
            <w:tcW w:w="1065" w:type="dxa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l-IN"/>
                <w14:ligatures w14:val="none"/>
              </w:rPr>
              <w:t>Value</w:t>
            </w:r>
          </w:p>
        </w:tc>
      </w:tr>
      <w:tr w:rsidR="00FE5C99" w:rsidRPr="00FE5C99" w:rsidTr="00FE5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  <w:t>Average Physical Activity (hrs/week)</w:t>
            </w:r>
          </w:p>
        </w:tc>
        <w:tc>
          <w:tcPr>
            <w:tcW w:w="1065" w:type="dxa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l-IN"/>
                <w14:ligatures w14:val="none"/>
              </w:rPr>
              <w:t>5 hours</w:t>
            </w:r>
          </w:p>
        </w:tc>
      </w:tr>
      <w:tr w:rsidR="00FE5C99" w:rsidRPr="00FE5C99" w:rsidTr="00FE5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  <w:t>Average Screen Time (hrs/day)</w:t>
            </w:r>
          </w:p>
        </w:tc>
        <w:tc>
          <w:tcPr>
            <w:tcW w:w="1065" w:type="dxa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l-IN"/>
                <w14:ligatures w14:val="none"/>
              </w:rPr>
              <w:t>6.9 hours</w:t>
            </w:r>
          </w:p>
        </w:tc>
      </w:tr>
      <w:tr w:rsidR="00FE5C99" w:rsidRPr="00FE5C99" w:rsidTr="00FE5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  <w:t>Average Sleep Duration (hrs)</w:t>
            </w:r>
          </w:p>
        </w:tc>
        <w:tc>
          <w:tcPr>
            <w:tcW w:w="1065" w:type="dxa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l-IN"/>
                <w14:ligatures w14:val="none"/>
              </w:rPr>
              <w:t>6 hours</w:t>
            </w:r>
          </w:p>
        </w:tc>
      </w:tr>
      <w:tr w:rsidR="00FE5C99" w:rsidRPr="00FE5C99" w:rsidTr="00FE5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  <w:t>Total Mental Health Cases Reported</w:t>
            </w:r>
          </w:p>
        </w:tc>
        <w:tc>
          <w:tcPr>
            <w:tcW w:w="1065" w:type="dxa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l-IN"/>
                <w14:ligatures w14:val="none"/>
              </w:rPr>
              <w:t>1,000</w:t>
            </w:r>
          </w:p>
        </w:tc>
      </w:tr>
      <w:tr w:rsidR="00FE5C99" w:rsidRPr="00FE5C99" w:rsidTr="00FE5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  <w:t xml:space="preserve">Total Students </w:t>
            </w:r>
            <w:proofErr w:type="spellStart"/>
            <w:r w:rsidRPr="00FE5C99"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  <w:t>Analyzed</w:t>
            </w:r>
            <w:proofErr w:type="spellEnd"/>
            <w:r w:rsidRPr="00FE5C99"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  <w:t xml:space="preserve"> (Age Count)</w:t>
            </w:r>
          </w:p>
        </w:tc>
        <w:tc>
          <w:tcPr>
            <w:tcW w:w="1065" w:type="dxa"/>
            <w:vAlign w:val="center"/>
            <w:hideMark/>
          </w:tcPr>
          <w:p w:rsidR="00FE5C99" w:rsidRPr="00FE5C99" w:rsidRDefault="00FE5C99" w:rsidP="00FE5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l-IN"/>
                <w14:ligatures w14:val="none"/>
              </w:rPr>
            </w:pPr>
            <w:r w:rsidRPr="00FE5C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l-IN"/>
                <w14:ligatures w14:val="none"/>
              </w:rPr>
              <w:t>20,342</w:t>
            </w:r>
          </w:p>
        </w:tc>
      </w:tr>
    </w:tbl>
    <w:p w:rsidR="00FE5C99" w:rsidRPr="00FE5C99" w:rsidRDefault="00FE5C99" w:rsidP="00FE5C99">
      <w:pPr>
        <w:rPr>
          <w:rFonts w:asciiTheme="minorBidi" w:hAnsiTheme="minorBidi"/>
          <w:b/>
          <w:bCs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Conclusions</w:t>
      </w:r>
    </w:p>
    <w:p w:rsidR="00FE5C99" w:rsidRPr="00FE5C99" w:rsidRDefault="00FE5C99" w:rsidP="00FE5C99">
      <w:pPr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lastRenderedPageBreak/>
        <w:t>Higher education levels</w:t>
      </w:r>
      <w:r w:rsidRPr="00FE5C99">
        <w:rPr>
          <w:rFonts w:asciiTheme="minorBidi" w:hAnsiTheme="minorBidi"/>
          <w:sz w:val="32"/>
          <w:szCs w:val="32"/>
        </w:rPr>
        <w:t xml:space="preserve"> tend to promote healthier physical habits but may also come with mental health burdens.</w:t>
      </w:r>
    </w:p>
    <w:p w:rsidR="00FE5C99" w:rsidRPr="00FE5C99" w:rsidRDefault="00FE5C99" w:rsidP="00FE5C99">
      <w:pPr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Screen time</w:t>
      </w:r>
      <w:r w:rsidRPr="00FE5C99">
        <w:rPr>
          <w:rFonts w:asciiTheme="minorBidi" w:hAnsiTheme="minorBidi"/>
          <w:sz w:val="32"/>
          <w:szCs w:val="32"/>
        </w:rPr>
        <w:t xml:space="preserve"> is a critical factor impacting physical activity and potentially mental health.</w:t>
      </w:r>
    </w:p>
    <w:p w:rsidR="00FE5C99" w:rsidRPr="00FE5C99" w:rsidRDefault="00FE5C99" w:rsidP="00FE5C99">
      <w:pPr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Sleep duration</w:t>
      </w:r>
      <w:r w:rsidRPr="00FE5C99">
        <w:rPr>
          <w:rFonts w:asciiTheme="minorBidi" w:hAnsiTheme="minorBidi"/>
          <w:sz w:val="32"/>
          <w:szCs w:val="32"/>
        </w:rPr>
        <w:t xml:space="preserve"> remains fairly stable, yet quality and consistency should be assessed further.</w:t>
      </w:r>
    </w:p>
    <w:p w:rsidR="00FE5C99" w:rsidRPr="00FE5C99" w:rsidRDefault="00FE5C99" w:rsidP="00FE5C99">
      <w:pPr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FE5C99">
        <w:rPr>
          <w:rFonts w:asciiTheme="minorBidi" w:hAnsiTheme="minorBidi"/>
          <w:b/>
          <w:bCs/>
          <w:sz w:val="32"/>
          <w:szCs w:val="32"/>
        </w:rPr>
        <w:t>Mental health support</w:t>
      </w:r>
      <w:r w:rsidRPr="00FE5C99">
        <w:rPr>
          <w:rFonts w:asciiTheme="minorBidi" w:hAnsiTheme="minorBidi"/>
          <w:sz w:val="32"/>
          <w:szCs w:val="32"/>
        </w:rPr>
        <w:t xml:space="preserve"> needs to be more inclusive and sensitive to gender and educational stress levels.</w:t>
      </w:r>
    </w:p>
    <w:p w:rsidR="00FE5C99" w:rsidRPr="00FE5C99" w:rsidRDefault="00FE5C99" w:rsidP="00FE5C99">
      <w:pPr>
        <w:rPr>
          <w:rFonts w:asciiTheme="minorBidi" w:hAnsiTheme="minorBidi"/>
          <w:sz w:val="32"/>
          <w:szCs w:val="32"/>
        </w:rPr>
      </w:pPr>
    </w:p>
    <w:sectPr w:rsidR="00FE5C99" w:rsidRPr="00FE5C99" w:rsidSect="00A37BCB">
      <w:pgSz w:w="11906" w:h="16838"/>
      <w:pgMar w:top="851" w:right="144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6B56"/>
    <w:multiLevelType w:val="multilevel"/>
    <w:tmpl w:val="1E86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67EA2"/>
    <w:multiLevelType w:val="multilevel"/>
    <w:tmpl w:val="BCA4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B5249"/>
    <w:multiLevelType w:val="multilevel"/>
    <w:tmpl w:val="164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B097D"/>
    <w:multiLevelType w:val="multilevel"/>
    <w:tmpl w:val="696A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A1221"/>
    <w:multiLevelType w:val="multilevel"/>
    <w:tmpl w:val="4C02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679819">
    <w:abstractNumId w:val="4"/>
  </w:num>
  <w:num w:numId="2" w16cid:durableId="1439251885">
    <w:abstractNumId w:val="3"/>
  </w:num>
  <w:num w:numId="3" w16cid:durableId="395399637">
    <w:abstractNumId w:val="2"/>
  </w:num>
  <w:num w:numId="4" w16cid:durableId="1136148364">
    <w:abstractNumId w:val="0"/>
  </w:num>
  <w:num w:numId="5" w16cid:durableId="186111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99"/>
    <w:rsid w:val="0014160C"/>
    <w:rsid w:val="00236FBA"/>
    <w:rsid w:val="00735D83"/>
    <w:rsid w:val="007812EE"/>
    <w:rsid w:val="00A37BCB"/>
    <w:rsid w:val="00DB6395"/>
    <w:rsid w:val="00F70FA2"/>
    <w:rsid w:val="00F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9C26"/>
  <w15:chartTrackingRefBased/>
  <w15:docId w15:val="{5834C4AC-5F96-4721-BD9D-287FD870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9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5C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9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5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 G</dc:creator>
  <cp:keywords/>
  <dc:description/>
  <cp:lastModifiedBy>ADARSH S G</cp:lastModifiedBy>
  <cp:revision>1</cp:revision>
  <dcterms:created xsi:type="dcterms:W3CDTF">2025-06-23T10:12:00Z</dcterms:created>
  <dcterms:modified xsi:type="dcterms:W3CDTF">2025-06-23T10:18:00Z</dcterms:modified>
</cp:coreProperties>
</file>