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6B7280"/>
          <w:sz w:val="22"/>
        </w:rPr>
        <w:t>LABORATORY EXPERIMENT REPORT</w:t>
      </w:r>
    </w:p>
    <w:p>
      <w:pPr>
        <w:jc w:val="center"/>
      </w:pPr>
      <w:r>
        <w:rPr>
          <w:rFonts w:ascii="Calibri" w:hAnsi="Calibri"/>
          <w:b/>
          <w:color w:val="1E3A8A"/>
          <w:sz w:val="44"/>
        </w:rPr>
        <w:t>Experiment No. 6:</w:t>
        <w:br/>
        <w:t>Formulation of Hypothesis Based on Collected Data</w:t>
      </w:r>
    </w:p>
    <w:p>
      <w:pPr>
        <w:jc w:val="center"/>
      </w:pPr>
      <w:r>
        <w:rPr>
          <w:rFonts w:ascii="Calibri" w:hAnsi="Calibri"/>
          <w:i/>
          <w:color w:val="4B5563"/>
          <w:sz w:val="22"/>
        </w:rPr>
        <w:t>Course: Research Methodology &amp; Applied Statistics Lab | Academic Practical</w:t>
      </w:r>
    </w:p>
    <w:p/>
    <w:p>
      <w:pPr>
        <w:pStyle w:val="Heading1"/>
      </w:pPr>
      <w:r>
        <w:rPr>
          <w:rFonts w:ascii="Calibri" w:hAnsi="Calibri"/>
          <w:b/>
          <w:color w:val="1E3A8A"/>
          <w:sz w:val="28"/>
        </w:rPr>
        <w:t>1. AIM OF THE EXPERIMENT</w:t>
      </w:r>
    </w:p>
    <w:p>
      <w:pPr>
        <w:spacing w:line="276" w:lineRule="auto"/>
        <w:ind w:left="288"/>
      </w:pPr>
      <w:r>
        <w:t xml:space="preserve">To formulate, structure, and evaluate statistical hypotheses (Null Hypothesis </w:t>
      </w:r>
      <w:r>
        <w:rPr>
          <w:b/>
        </w:rPr>
        <w:t>H₀</w:t>
      </w:r>
      <w:r>
        <w:t xml:space="preserve"> and Alternative Hypothesis </w:t>
      </w:r>
      <w:r>
        <w:rPr>
          <w:b/>
        </w:rPr>
        <w:t>H₁</w:t>
      </w:r>
      <w:r>
        <w:t>) based on collected empirical survey data, identify independent and dependent research variables, establish decision criteria (α = 0.05), and programmatically execute statistical hypothesis testing using Python (Chi-Square Test &amp; Independent Samples t-test).</w:t>
      </w:r>
    </w:p>
    <w:p>
      <w:pPr>
        <w:pStyle w:val="Heading1"/>
      </w:pPr>
      <w:r>
        <w:rPr>
          <w:rFonts w:ascii="Calibri" w:hAnsi="Calibri"/>
          <w:b/>
          <w:color w:val="1E3A8A"/>
          <w:sz w:val="28"/>
        </w:rPr>
        <w:t>2. APPARATUS &amp; SOFTWARE REQUIREMENTS</w:t>
      </w:r>
    </w:p>
    <w:p>
      <w:pPr>
        <w:pStyle w:val="ListBullet"/>
        <w:spacing w:line="276" w:lineRule="auto"/>
      </w:pPr>
      <w:r>
        <w:rPr>
          <w:b/>
        </w:rPr>
        <w:t xml:space="preserve">Hardware: </w:t>
      </w:r>
      <w:r>
        <w:t>Personal Computer / Workstation (Intel Core i3+, 4GB RAM minimum).</w:t>
      </w:r>
    </w:p>
    <w:p>
      <w:pPr>
        <w:pStyle w:val="ListBullet"/>
        <w:spacing w:line="276" w:lineRule="auto"/>
      </w:pPr>
      <w:r>
        <w:rPr>
          <w:b/>
        </w:rPr>
        <w:t xml:space="preserve">Operating System: </w:t>
      </w:r>
      <w:r>
        <w:t>Windows 10 / 11 or Linux.</w:t>
      </w:r>
    </w:p>
    <w:p>
      <w:pPr>
        <w:pStyle w:val="ListBullet"/>
        <w:spacing w:line="276" w:lineRule="auto"/>
      </w:pPr>
      <w:r>
        <w:rPr>
          <w:b/>
        </w:rPr>
        <w:t xml:space="preserve">Software Environment: </w:t>
      </w:r>
      <w:r>
        <w:t>Python 3.9+ runtime with scipy.stats, pandas, and numpy packages.</w:t>
      </w:r>
    </w:p>
    <w:p>
      <w:pPr>
        <w:pStyle w:val="ListBullet"/>
        <w:spacing w:line="276" w:lineRule="auto"/>
      </w:pPr>
      <w:r>
        <w:rPr>
          <w:b/>
        </w:rPr>
        <w:t xml:space="preserve">Statistical Tools: </w:t>
      </w:r>
      <w:r>
        <w:t>Chi-Square Test of Independence (χ²), Two-Sample Student's t-test, p-value decision framework.</w:t>
      </w:r>
    </w:p>
    <w:p>
      <w:pPr>
        <w:pStyle w:val="Heading1"/>
      </w:pPr>
      <w:r>
        <w:rPr>
          <w:rFonts w:ascii="Calibri" w:hAnsi="Calibri"/>
          <w:b/>
          <w:color w:val="1E3A8A"/>
          <w:sz w:val="28"/>
        </w:rPr>
        <w:t>3. THEORETICAL FOUNDATION &amp; CONCEPTS</w:t>
      </w:r>
    </w:p>
    <w:p>
      <w:pPr>
        <w:spacing w:line="276" w:lineRule="auto"/>
      </w:pPr>
      <w:r>
        <w:t>In empirical research, a hypothesis is a formal, testable conjecture or proposed explanation regarding the relationship between two or more observable phenomena. Statistical hypothesis testing allows researchers to draw inferences about population parameters from sample evidence.</w:t>
      </w:r>
    </w:p>
    <w:p>
      <w:pPr>
        <w:spacing w:line="276" w:lineRule="auto"/>
        <w:ind w:left="288"/>
      </w:pPr>
      <w:r>
        <w:rPr>
          <w:b/>
        </w:rPr>
        <w:t xml:space="preserve">• Null Hypothesis (H₀): </w:t>
      </w:r>
      <w:r>
        <w:t>A statement of default neutrality postulating no statistical effect, no correlation, or no significant difference between observed variables. Mathematically: H₀: μ₁ = μ₂ or H₀: ρ = 0.</w:t>
      </w:r>
    </w:p>
    <w:p>
      <w:pPr>
        <w:spacing w:line="276" w:lineRule="auto"/>
        <w:ind w:left="288"/>
      </w:pPr>
      <w:r>
        <w:rPr>
          <w:b/>
        </w:rPr>
        <w:t xml:space="preserve">• Alternative Hypothesis (H₁ or Hₐ): </w:t>
      </w:r>
      <w:r>
        <w:t>The affirmative research proposition asserting that a genuine statistical effect, difference, or dependency exists in the underlying population. Mathematically: H₁: μ₁ ≠ μ₂ (Two-tailed) or H₁: μ₁ &gt; μ₂ (One-tailed).</w:t>
      </w:r>
    </w:p>
    <w:p>
      <w:pPr>
        <w:spacing w:line="276" w:lineRule="auto"/>
        <w:ind w:left="288"/>
      </w:pPr>
      <w:r>
        <w:rPr>
          <w:b/>
        </w:rPr>
        <w:t xml:space="preserve">• Independent Variable (IV): </w:t>
      </w:r>
      <w:r>
        <w:t>The presumed cause, antecedent, or predictor variable manipulated or categorized by the researcher (e.g., Payment Mode: Online vs Offline).</w:t>
      </w:r>
    </w:p>
    <w:p>
      <w:pPr>
        <w:spacing w:line="276" w:lineRule="auto"/>
        <w:ind w:left="288"/>
      </w:pPr>
      <w:r>
        <w:rPr>
          <w:b/>
        </w:rPr>
        <w:t xml:space="preserve">• Dependent Variable (DV): </w:t>
      </w:r>
      <w:r>
        <w:t>The outcome or criterion variable measured to assess the effect of the independent variable (e.g., Fee Defaulter Status, Pending Dues, Satisfaction Level).</w:t>
      </w:r>
    </w:p>
    <w:p>
      <w:pPr>
        <w:spacing w:line="276" w:lineRule="auto"/>
        <w:ind w:left="288"/>
      </w:pPr>
      <w:r>
        <w:rPr>
          <w:b/>
        </w:rPr>
        <w:t xml:space="preserve">• Significance Level (α): </w:t>
      </w:r>
      <w:r>
        <w:t>The predetermined threshold probability of committing a Type I error (rejecting a true null hypothesis), conventionally set at α = 0.05 (5%).</w:t>
      </w:r>
    </w:p>
    <w:p>
      <w:pPr>
        <w:spacing w:line="276" w:lineRule="auto"/>
        <w:ind w:left="288"/>
      </w:pPr>
      <w:r>
        <w:rPr>
          <w:b/>
        </w:rPr>
        <w:t xml:space="preserve">• P-Value Decision Rule: </w:t>
      </w:r>
      <w:r>
        <w:t>If p-value ≤ α (0.05) → Reject H₀ (Statistically Significant result). If p-value &gt; α (0.05) → Fail to Reject H₀.</w:t>
      </w:r>
    </w:p>
    <w:p>
      <w:pPr>
        <w:pStyle w:val="Heading1"/>
      </w:pPr>
      <w:r>
        <w:rPr>
          <w:rFonts w:ascii="Calibri" w:hAnsi="Calibri"/>
          <w:b/>
          <w:color w:val="1E3A8A"/>
          <w:sz w:val="28"/>
        </w:rPr>
        <w:t>4. STEP-BY-STEP PROCEDURE FOR HYPOTHESIS FORMULATION</w:t>
      </w:r>
    </w:p>
    <w:p>
      <w:pPr>
        <w:spacing w:line="276" w:lineRule="auto"/>
      </w:pPr>
      <w:r>
        <w:rPr>
          <w:b/>
          <w:color w:val="1E3A8A"/>
        </w:rPr>
        <w:t>• Step 1: State the Research Question:</w:t>
        <w:br/>
      </w:r>
      <w:r>
        <w:t xml:space="preserve">  Identify the empirical relationship to investigate (e.g., "Does adopting online payment channels reduce student fee default rates?").</w:t>
      </w:r>
    </w:p>
    <w:p>
      <w:pPr>
        <w:spacing w:line="276" w:lineRule="auto"/>
      </w:pPr>
      <w:r>
        <w:rPr>
          <w:b/>
          <w:color w:val="1E3A8A"/>
        </w:rPr>
        <w:t>• Step 2: Classify Dependent and Independent Variables:</w:t>
        <w:br/>
      </w:r>
      <w:r>
        <w:t xml:space="preserve">  Designate predictor attributes (IV) and outcome attributes (DV) from the coded survey dataset.</w:t>
      </w:r>
    </w:p>
    <w:p>
      <w:pPr>
        <w:spacing w:line="276" w:lineRule="auto"/>
      </w:pPr>
      <w:r>
        <w:rPr>
          <w:b/>
          <w:color w:val="1E3A8A"/>
        </w:rPr>
        <w:t>• Step 3: Frame Paired Null and Alternative Hypotheses:</w:t>
        <w:br/>
      </w:r>
      <w:r>
        <w:t xml:space="preserve">  Formulate mutually exclusive and exhaustive statements for H₀ and H₁.</w:t>
      </w:r>
    </w:p>
    <w:p>
      <w:pPr>
        <w:spacing w:line="276" w:lineRule="auto"/>
      </w:pPr>
      <w:r>
        <w:rPr>
          <w:b/>
          <w:color w:val="1E3A8A"/>
        </w:rPr>
        <w:t>• Step 4: Select the Appropriate Statistical Test:</w:t>
        <w:br/>
      </w:r>
      <w:r>
        <w:t xml:space="preserve">  Choose tests based on variable measurement scale: Chi-Square (Categorical vs Categorical), t-test (Categorical 2-group vs Continuous), or ANOVA (Categorical 3+ groups vs Continuous).</w:t>
      </w:r>
    </w:p>
    <w:p>
      <w:pPr>
        <w:spacing w:line="276" w:lineRule="auto"/>
      </w:pPr>
      <w:r>
        <w:rPr>
          <w:b/>
          <w:color w:val="1E3A8A"/>
        </w:rPr>
        <w:t>• Step 5: Set Statistical Thresholds &amp; Run Hypothesis Test:</w:t>
        <w:br/>
      </w:r>
      <w:r>
        <w:t xml:space="preserve">  Set significance level α = 0.05, compute test statistics and corresponding p-values using computational libraries.</w:t>
      </w:r>
    </w:p>
    <w:p>
      <w:pPr>
        <w:spacing w:line="276" w:lineRule="auto"/>
      </w:pPr>
      <w:r>
        <w:rPr>
          <w:b/>
          <w:color w:val="1E3A8A"/>
        </w:rPr>
        <w:t>• Step 6: Draw Inferential Conclusion:</w:t>
        <w:br/>
      </w:r>
      <w:r>
        <w:t xml:space="preserve">  Compare computed p-value with α and state formal research findings.</w:t>
      </w:r>
    </w:p>
    <w:p>
      <w:pPr>
        <w:pStyle w:val="Heading1"/>
      </w:pPr>
      <w:r>
        <w:rPr>
          <w:rFonts w:ascii="Calibri" w:hAnsi="Calibri"/>
          <w:b/>
          <w:color w:val="1E3A8A"/>
          <w:sz w:val="28"/>
        </w:rPr>
        <w:t>5. FORMULATED RESEARCH HYPOTHESES (STUDENT FEE SYSTEM CASE STUDY)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1E3A8A"/>
            <w:tcMar>
              <w:top w:w="120" w:type="dxa"/>
              <w:bottom w:w="120" w:type="dxa"/>
              <w:left w:w="90" w:type="dxa"/>
              <w:right w:w="90" w:type="dxa"/>
            </w:tcMar>
          </w:tcPr>
          <w:p>
            <w:pPr>
              <w:jc w:val="center"/>
            </w:pPr>
            <w:r>
              <w:rPr>
                <w:b/>
                <w:color w:val="FFFFFF"/>
                <w:sz w:val="19"/>
              </w:rPr>
              <w:t>Hypothesis ID</w:t>
            </w:r>
          </w:p>
        </w:tc>
        <w:tc>
          <w:tcPr>
            <w:tcW w:type="dxa" w:w="2160"/>
            <w:shd w:fill="1E3A8A"/>
            <w:tcMar>
              <w:top w:w="120" w:type="dxa"/>
              <w:bottom w:w="120" w:type="dxa"/>
              <w:left w:w="90" w:type="dxa"/>
              <w:right w:w="90" w:type="dxa"/>
            </w:tcMar>
          </w:tcPr>
          <w:p>
            <w:pPr>
              <w:jc w:val="center"/>
            </w:pPr>
            <w:r>
              <w:rPr>
                <w:b/>
                <w:color w:val="FFFFFF"/>
                <w:sz w:val="19"/>
              </w:rPr>
              <w:t>Independent Variable (IV)</w:t>
            </w:r>
          </w:p>
        </w:tc>
        <w:tc>
          <w:tcPr>
            <w:tcW w:type="dxa" w:w="2160"/>
            <w:shd w:fill="1E3A8A"/>
            <w:tcMar>
              <w:top w:w="120" w:type="dxa"/>
              <w:bottom w:w="120" w:type="dxa"/>
              <w:left w:w="90" w:type="dxa"/>
              <w:right w:w="90" w:type="dxa"/>
            </w:tcMar>
          </w:tcPr>
          <w:p>
            <w:pPr>
              <w:jc w:val="center"/>
            </w:pPr>
            <w:r>
              <w:rPr>
                <w:b/>
                <w:color w:val="FFFFFF"/>
                <w:sz w:val="19"/>
              </w:rPr>
              <w:t>Dependent Variable (DV)</w:t>
            </w:r>
          </w:p>
        </w:tc>
        <w:tc>
          <w:tcPr>
            <w:tcW w:type="dxa" w:w="3600"/>
            <w:shd w:fill="1E3A8A"/>
            <w:tcMar>
              <w:top w:w="120" w:type="dxa"/>
              <w:bottom w:w="120" w:type="dxa"/>
              <w:left w:w="90" w:type="dxa"/>
              <w:right w:w="90" w:type="dxa"/>
            </w:tcMar>
          </w:tcPr>
          <w:p>
            <w:pPr>
              <w:jc w:val="center"/>
            </w:pPr>
            <w:r>
              <w:rPr>
                <w:b/>
                <w:color w:val="FFFFFF"/>
                <w:sz w:val="19"/>
              </w:rPr>
              <w:t>Hypothesis Statement (H₀ &amp; H₁)</w:t>
            </w:r>
          </w:p>
        </w:tc>
      </w:tr>
      <w:tr>
        <w:tc>
          <w:tcPr>
            <w:tcW w:type="dxa" w:w="1584"/>
            <w:shd w:fill="F9FAFB"/>
            <w:tcMar>
              <w:top w:w="100" w:type="dxa"/>
              <w:bottom w:w="100" w:type="dxa"/>
              <w:left w:w="90" w:type="dxa"/>
              <w:right w:w="90" w:type="dxa"/>
            </w:tcMar>
          </w:tcPr>
          <w:p>
            <w:pPr>
              <w:jc w:val="center"/>
            </w:pPr>
            <w:r>
              <w:rPr>
                <w:sz w:val="18"/>
              </w:rPr>
              <w:t>H₁ (Primary)</w:t>
            </w:r>
          </w:p>
        </w:tc>
        <w:tc>
          <w:tcPr>
            <w:tcW w:type="dxa" w:w="2160"/>
            <w:shd w:fill="F9FAFB"/>
            <w:tcMar>
              <w:top w:w="100" w:type="dxa"/>
              <w:bottom w:w="100" w:type="dxa"/>
              <w:left w:w="90" w:type="dxa"/>
              <w:right w:w="90" w:type="dxa"/>
            </w:tcMar>
          </w:tcPr>
          <w:p>
            <w:pPr>
              <w:jc w:val="center"/>
            </w:pPr>
            <w:r>
              <w:rPr>
                <w:sz w:val="18"/>
              </w:rPr>
              <w:t>Payment Mode</w:t>
              <w:br/>
              <w:t>(PAY_MOD: Online vs Offline)</w:t>
            </w:r>
          </w:p>
        </w:tc>
        <w:tc>
          <w:tcPr>
            <w:tcW w:type="dxa" w:w="2160"/>
            <w:shd w:fill="F9FAFB"/>
            <w:tcMar>
              <w:top w:w="100" w:type="dxa"/>
              <w:bottom w:w="100" w:type="dxa"/>
              <w:left w:w="90" w:type="dxa"/>
              <w:right w:w="90" w:type="dxa"/>
            </w:tcMar>
          </w:tcPr>
          <w:p>
            <w:pPr>
              <w:jc w:val="center"/>
            </w:pPr>
            <w:r>
              <w:rPr>
                <w:sz w:val="18"/>
              </w:rPr>
              <w:t>Defaulter Status</w:t>
              <w:br/>
              <w:t>(DUE_CLS: Non-defaulter vs Defaulter)</w:t>
            </w:r>
          </w:p>
        </w:tc>
        <w:tc>
          <w:tcPr>
            <w:tcW w:type="dxa" w:w="3600"/>
            <w:shd w:fill="F9FAFB"/>
            <w:tcMar>
              <w:top w:w="100" w:type="dxa"/>
              <w:bottom w:w="100" w:type="dxa"/>
              <w:left w:w="90" w:type="dxa"/>
              <w:right w:w="90" w:type="dxa"/>
            </w:tcMar>
          </w:tcPr>
          <w:p>
            <w:r>
              <w:rPr>
                <w:sz w:val="18"/>
              </w:rPr>
              <w:t>H₀: Fee payment mode has no significant association with defaulter status.</w:t>
              <w:br/>
              <w:br/>
              <w:t>H₁: Students using offline channels (bank challan/cash) exhibit a significantly higher fee default rate than online users.</w:t>
            </w:r>
          </w:p>
        </w:tc>
      </w:tr>
      <w:tr>
        <w:tc>
          <w:tcPr>
            <w:tcW w:type="dxa" w:w="1584"/>
            <w:shd w:fill="FFFFFF"/>
            <w:tcMar>
              <w:top w:w="100" w:type="dxa"/>
              <w:bottom w:w="100" w:type="dxa"/>
              <w:left w:w="90" w:type="dxa"/>
              <w:right w:w="90" w:type="dxa"/>
            </w:tcMar>
          </w:tcPr>
          <w:p>
            <w:pPr>
              <w:jc w:val="center"/>
            </w:pPr>
            <w:r>
              <w:rPr>
                <w:sz w:val="18"/>
              </w:rPr>
              <w:t>H₂ (Secondary)</w:t>
            </w:r>
          </w:p>
        </w:tc>
        <w:tc>
          <w:tcPr>
            <w:tcW w:type="dxa" w:w="2160"/>
            <w:shd w:fill="FFFFFF"/>
            <w:tcMar>
              <w:top w:w="100" w:type="dxa"/>
              <w:bottom w:w="100" w:type="dxa"/>
              <w:left w:w="90" w:type="dxa"/>
              <w:right w:w="90" w:type="dxa"/>
            </w:tcMar>
          </w:tcPr>
          <w:p>
            <w:pPr>
              <w:jc w:val="center"/>
            </w:pPr>
            <w:r>
              <w:rPr>
                <w:sz w:val="18"/>
              </w:rPr>
              <w:t>Defaulter Status</w:t>
              <w:br/>
              <w:t>(DUE_CLS: Non-defaulter vs Defaulter)</w:t>
            </w:r>
          </w:p>
        </w:tc>
        <w:tc>
          <w:tcPr>
            <w:tcW w:type="dxa" w:w="2160"/>
            <w:shd w:fill="FFFFFF"/>
            <w:tcMar>
              <w:top w:w="100" w:type="dxa"/>
              <w:bottom w:w="100" w:type="dxa"/>
              <w:left w:w="90" w:type="dxa"/>
              <w:right w:w="90" w:type="dxa"/>
            </w:tcMar>
          </w:tcPr>
          <w:p>
            <w:pPr>
              <w:jc w:val="center"/>
            </w:pPr>
            <w:r>
              <w:rPr>
                <w:sz w:val="18"/>
              </w:rPr>
              <w:t>Student Satisfaction</w:t>
              <w:br/>
              <w:t>(SAT_LVL: 1 to 5 scale)</w:t>
            </w:r>
          </w:p>
        </w:tc>
        <w:tc>
          <w:tcPr>
            <w:tcW w:type="dxa" w:w="3600"/>
            <w:shd w:fill="FFFFFF"/>
            <w:tcMar>
              <w:top w:w="100" w:type="dxa"/>
              <w:bottom w:w="100" w:type="dxa"/>
              <w:left w:w="90" w:type="dxa"/>
              <w:right w:w="90" w:type="dxa"/>
            </w:tcMar>
          </w:tcPr>
          <w:p>
            <w:r>
              <w:rPr>
                <w:sz w:val="18"/>
              </w:rPr>
              <w:t>H₀: There is no significant difference in portal satisfaction between defaulters and non-defaulters.</w:t>
              <w:br/>
              <w:br/>
              <w:t>H₁: Non-defaulters report significantly higher satisfaction than fee defaulters.</w:t>
            </w:r>
          </w:p>
        </w:tc>
      </w:tr>
      <w:tr>
        <w:tc>
          <w:tcPr>
            <w:tcW w:type="dxa" w:w="1584"/>
            <w:shd w:fill="F9FAFB"/>
            <w:tcMar>
              <w:top w:w="100" w:type="dxa"/>
              <w:bottom w:w="100" w:type="dxa"/>
              <w:left w:w="90" w:type="dxa"/>
              <w:right w:w="90" w:type="dxa"/>
            </w:tcMar>
          </w:tcPr>
          <w:p>
            <w:pPr>
              <w:jc w:val="center"/>
            </w:pPr>
            <w:r>
              <w:rPr>
                <w:sz w:val="18"/>
              </w:rPr>
              <w:t>H₃ (Demographic)</w:t>
            </w:r>
          </w:p>
        </w:tc>
        <w:tc>
          <w:tcPr>
            <w:tcW w:type="dxa" w:w="2160"/>
            <w:shd w:fill="F9FAFB"/>
            <w:tcMar>
              <w:top w:w="100" w:type="dxa"/>
              <w:bottom w:w="100" w:type="dxa"/>
              <w:left w:w="90" w:type="dxa"/>
              <w:right w:w="90" w:type="dxa"/>
            </w:tcMar>
          </w:tcPr>
          <w:p>
            <w:pPr>
              <w:jc w:val="center"/>
            </w:pPr>
            <w:r>
              <w:rPr>
                <w:sz w:val="18"/>
              </w:rPr>
              <w:t>Gender</w:t>
              <w:br/>
              <w:t>(GEN_COD: Male vs Female)</w:t>
            </w:r>
          </w:p>
        </w:tc>
        <w:tc>
          <w:tcPr>
            <w:tcW w:type="dxa" w:w="2160"/>
            <w:shd w:fill="F9FAFB"/>
            <w:tcMar>
              <w:top w:w="100" w:type="dxa"/>
              <w:bottom w:w="100" w:type="dxa"/>
              <w:left w:w="90" w:type="dxa"/>
              <w:right w:w="90" w:type="dxa"/>
            </w:tcMar>
          </w:tcPr>
          <w:p>
            <w:pPr>
              <w:jc w:val="center"/>
            </w:pPr>
            <w:r>
              <w:rPr>
                <w:sz w:val="18"/>
              </w:rPr>
              <w:t>Defaulter Status</w:t>
              <w:br/>
              <w:t>(DUE_CLS: Non-defaulter vs Defaulter)</w:t>
            </w:r>
          </w:p>
        </w:tc>
        <w:tc>
          <w:tcPr>
            <w:tcW w:type="dxa" w:w="3600"/>
            <w:shd w:fill="F9FAFB"/>
            <w:tcMar>
              <w:top w:w="100" w:type="dxa"/>
              <w:bottom w:w="100" w:type="dxa"/>
              <w:left w:w="90" w:type="dxa"/>
              <w:right w:w="90" w:type="dxa"/>
            </w:tcMar>
          </w:tcPr>
          <w:p>
            <w:r>
              <w:rPr>
                <w:sz w:val="18"/>
              </w:rPr>
              <w:t>H₀: Gender has no significant association with fee payment default status.</w:t>
              <w:br/>
              <w:br/>
              <w:t>H₁: Fee payment default rate varies significantly across genders.</w:t>
            </w:r>
          </w:p>
        </w:tc>
      </w:tr>
    </w:tbl>
    <w:p/>
    <w:p>
      <w:pPr>
        <w:pStyle w:val="Heading1"/>
      </w:pPr>
      <w:r>
        <w:rPr>
          <w:rFonts w:ascii="Calibri" w:hAnsi="Calibri"/>
          <w:b/>
          <w:color w:val="1E3A8A"/>
          <w:sz w:val="28"/>
        </w:rPr>
        <w:t>6. EMPIRICAL CONTINGENCY MATRIX (FOR HYPOTHESIS H₁)</w:t>
      </w:r>
    </w:p>
    <w:p>
      <w:pPr>
        <w:spacing w:line="276" w:lineRule="auto"/>
      </w:pPr>
      <w:r>
        <w:t>Cross-tabulation (2×2 Contingency Table) analyzing Payment Channel vs Fee Defaulter Status across an empirical institutional sample of N = 100 students: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374151"/>
            <w:tcMar>
              <w:top w:w="100" w:type="dxa"/>
              <w:bottom w:w="100" w:type="dxa"/>
              <w:left w:w="90" w:type="dxa"/>
              <w:right w:w="90" w:type="dxa"/>
            </w:tcMar>
          </w:tcPr>
          <w:p>
            <w:pPr>
              <w:jc w:val="center"/>
            </w:pPr>
            <w:r>
              <w:rPr>
                <w:b/>
                <w:color w:val="FFFFFF"/>
                <w:sz w:val="19"/>
              </w:rPr>
              <w:t>Payment Mode Category</w:t>
            </w:r>
          </w:p>
        </w:tc>
        <w:tc>
          <w:tcPr>
            <w:tcW w:type="dxa" w:w="2160"/>
            <w:shd w:fill="374151"/>
            <w:tcMar>
              <w:top w:w="100" w:type="dxa"/>
              <w:bottom w:w="100" w:type="dxa"/>
              <w:left w:w="90" w:type="dxa"/>
              <w:right w:w="90" w:type="dxa"/>
            </w:tcMar>
          </w:tcPr>
          <w:p>
            <w:pPr>
              <w:jc w:val="center"/>
            </w:pPr>
            <w:r>
              <w:rPr>
                <w:b/>
                <w:color w:val="FFFFFF"/>
                <w:sz w:val="19"/>
              </w:rPr>
              <w:t>Non-Defaulter (Clear)</w:t>
            </w:r>
          </w:p>
        </w:tc>
        <w:tc>
          <w:tcPr>
            <w:tcW w:type="dxa" w:w="2160"/>
            <w:shd w:fill="374151"/>
            <w:tcMar>
              <w:top w:w="100" w:type="dxa"/>
              <w:bottom w:w="100" w:type="dxa"/>
              <w:left w:w="90" w:type="dxa"/>
              <w:right w:w="90" w:type="dxa"/>
            </w:tcMar>
          </w:tcPr>
          <w:p>
            <w:pPr>
              <w:jc w:val="center"/>
            </w:pPr>
            <w:r>
              <w:rPr>
                <w:b/>
                <w:color w:val="FFFFFF"/>
                <w:sz w:val="19"/>
              </w:rPr>
              <w:t>Fee Defaulter (Pending Dues)</w:t>
            </w:r>
          </w:p>
        </w:tc>
        <w:tc>
          <w:tcPr>
            <w:tcW w:type="dxa" w:w="2016"/>
            <w:shd w:fill="374151"/>
            <w:tcMar>
              <w:top w:w="100" w:type="dxa"/>
              <w:bottom w:w="100" w:type="dxa"/>
              <w:left w:w="90" w:type="dxa"/>
              <w:right w:w="90" w:type="dxa"/>
            </w:tcMar>
          </w:tcPr>
          <w:p>
            <w:pPr>
              <w:jc w:val="center"/>
            </w:pPr>
            <w:r>
              <w:rPr>
                <w:b/>
                <w:color w:val="FFFFFF"/>
                <w:sz w:val="19"/>
              </w:rPr>
              <w:t>Total Respondents</w:t>
            </w:r>
          </w:p>
        </w:tc>
      </w:tr>
      <w:tr>
        <w:tc>
          <w:tcPr>
            <w:tcW w:type="dxa" w:w="3168"/>
            <w:shd w:fill="F9FAFB"/>
            <w:tcMar>
              <w:top w:w="80" w:type="dxa"/>
              <w:bottom w:w="80" w:type="dxa"/>
              <w:left w:w="90" w:type="dxa"/>
              <w:right w:w="90" w:type="dxa"/>
            </w:tcMar>
          </w:tcPr>
          <w:p>
            <w:r>
              <w:rPr>
                <w:sz w:val="18"/>
              </w:rPr>
              <w:t>Online Payments (UPI / Net Banking)</w:t>
            </w:r>
          </w:p>
        </w:tc>
        <w:tc>
          <w:tcPr>
            <w:tcW w:type="dxa" w:w="2160"/>
            <w:shd w:fill="F9FAFB"/>
            <w:tcMar>
              <w:top w:w="80" w:type="dxa"/>
              <w:bottom w:w="80" w:type="dxa"/>
              <w:left w:w="90" w:type="dxa"/>
              <w:right w:w="90" w:type="dxa"/>
            </w:tcMar>
          </w:tcPr>
          <w:p>
            <w:pPr>
              <w:jc w:val="center"/>
            </w:pPr>
            <w:r>
              <w:rPr>
                <w:sz w:val="18"/>
              </w:rPr>
              <w:t>48 (80%)</w:t>
            </w:r>
          </w:p>
        </w:tc>
        <w:tc>
          <w:tcPr>
            <w:tcW w:type="dxa" w:w="2160"/>
            <w:shd w:fill="F9FAFB"/>
            <w:tcMar>
              <w:top w:w="80" w:type="dxa"/>
              <w:bottom w:w="80" w:type="dxa"/>
              <w:left w:w="90" w:type="dxa"/>
              <w:right w:w="90" w:type="dxa"/>
            </w:tcMar>
          </w:tcPr>
          <w:p>
            <w:pPr>
              <w:jc w:val="center"/>
            </w:pPr>
            <w:r>
              <w:rPr>
                <w:sz w:val="18"/>
              </w:rPr>
              <w:t>12 (20%)</w:t>
            </w:r>
          </w:p>
        </w:tc>
        <w:tc>
          <w:tcPr>
            <w:tcW w:type="dxa" w:w="2016"/>
            <w:shd w:fill="F9FAFB"/>
            <w:tcMar>
              <w:top w:w="80" w:type="dxa"/>
              <w:bottom w:w="80" w:type="dxa"/>
              <w:left w:w="90" w:type="dxa"/>
              <w:right w:w="90" w:type="dxa"/>
            </w:tcMar>
          </w:tcPr>
          <w:p>
            <w:pPr>
              <w:jc w:val="center"/>
            </w:pPr>
            <w:r>
              <w:rPr>
                <w:sz w:val="18"/>
              </w:rPr>
              <w:t>60</w:t>
            </w:r>
          </w:p>
        </w:tc>
      </w:tr>
      <w:tr>
        <w:tc>
          <w:tcPr>
            <w:tcW w:type="dxa" w:w="3168"/>
            <w:shd w:fill="FFFFFF"/>
            <w:tcMar>
              <w:top w:w="80" w:type="dxa"/>
              <w:bottom w:w="80" w:type="dxa"/>
              <w:left w:w="90" w:type="dxa"/>
              <w:right w:w="90" w:type="dxa"/>
            </w:tcMar>
          </w:tcPr>
          <w:p>
            <w:r>
              <w:rPr>
                <w:sz w:val="18"/>
              </w:rPr>
              <w:t>Offline Payments (Bank Challan / Cash)</w:t>
            </w:r>
          </w:p>
        </w:tc>
        <w:tc>
          <w:tcPr>
            <w:tcW w:type="dxa" w:w="2160"/>
            <w:shd w:fill="FFFFFF"/>
            <w:tcMar>
              <w:top w:w="80" w:type="dxa"/>
              <w:bottom w:w="80" w:type="dxa"/>
              <w:left w:w="90" w:type="dxa"/>
              <w:right w:w="90" w:type="dxa"/>
            </w:tcMar>
          </w:tcPr>
          <w:p>
            <w:pPr>
              <w:jc w:val="center"/>
            </w:pPr>
            <w:r>
              <w:rPr>
                <w:sz w:val="18"/>
              </w:rPr>
              <w:t>14 (35%)</w:t>
            </w:r>
          </w:p>
        </w:tc>
        <w:tc>
          <w:tcPr>
            <w:tcW w:type="dxa" w:w="2160"/>
            <w:shd w:fill="FFFFFF"/>
            <w:tcMar>
              <w:top w:w="80" w:type="dxa"/>
              <w:bottom w:w="80" w:type="dxa"/>
              <w:left w:w="90" w:type="dxa"/>
              <w:right w:w="90" w:type="dxa"/>
            </w:tcMar>
          </w:tcPr>
          <w:p>
            <w:pPr>
              <w:jc w:val="center"/>
            </w:pPr>
            <w:r>
              <w:rPr>
                <w:sz w:val="18"/>
              </w:rPr>
              <w:t>26 (65%)</w:t>
            </w:r>
          </w:p>
        </w:tc>
        <w:tc>
          <w:tcPr>
            <w:tcW w:type="dxa" w:w="2016"/>
            <w:shd w:fill="FFFFFF"/>
            <w:tcMar>
              <w:top w:w="80" w:type="dxa"/>
              <w:bottom w:w="80" w:type="dxa"/>
              <w:left w:w="90" w:type="dxa"/>
              <w:right w:w="90" w:type="dxa"/>
            </w:tcMar>
          </w:tcPr>
          <w:p>
            <w:pPr>
              <w:jc w:val="center"/>
            </w:pPr>
            <w:r>
              <w:rPr>
                <w:sz w:val="18"/>
              </w:rPr>
              <w:t>40</w:t>
            </w:r>
          </w:p>
        </w:tc>
      </w:tr>
      <w:tr>
        <w:tc>
          <w:tcPr>
            <w:tcW w:type="dxa" w:w="3168"/>
            <w:shd w:fill="E5E7EB"/>
            <w:tcMar>
              <w:top w:w="80" w:type="dxa"/>
              <w:bottom w:w="80" w:type="dxa"/>
              <w:left w:w="90" w:type="dxa"/>
              <w:right w:w="90" w:type="dxa"/>
            </w:tcMar>
          </w:tcPr>
          <w:p>
            <w:r>
              <w:rPr>
                <w:b/>
                <w:sz w:val="18"/>
              </w:rPr>
              <w:t>Total Observed Cohort</w:t>
            </w:r>
          </w:p>
        </w:tc>
        <w:tc>
          <w:tcPr>
            <w:tcW w:type="dxa" w:w="2160"/>
            <w:shd w:fill="E5E7EB"/>
            <w:tcMar>
              <w:top w:w="80" w:type="dxa"/>
              <w:bottom w:w="80" w:type="dxa"/>
              <w:left w:w="90" w:type="dxa"/>
              <w:right w:w="90" w:type="dxa"/>
            </w:tcMar>
          </w:tcPr>
          <w:p>
            <w:pPr>
              <w:jc w:val="center"/>
            </w:pPr>
            <w:r>
              <w:rPr>
                <w:b/>
                <w:sz w:val="18"/>
              </w:rPr>
              <w:t>62</w:t>
            </w:r>
          </w:p>
        </w:tc>
        <w:tc>
          <w:tcPr>
            <w:tcW w:type="dxa" w:w="2160"/>
            <w:shd w:fill="E5E7EB"/>
            <w:tcMar>
              <w:top w:w="80" w:type="dxa"/>
              <w:bottom w:w="80" w:type="dxa"/>
              <w:left w:w="90" w:type="dxa"/>
              <w:right w:w="90" w:type="dxa"/>
            </w:tcMar>
          </w:tcPr>
          <w:p>
            <w:pPr>
              <w:jc w:val="center"/>
            </w:pPr>
            <w:r>
              <w:rPr>
                <w:b/>
                <w:sz w:val="18"/>
              </w:rPr>
              <w:t>38</w:t>
            </w:r>
          </w:p>
        </w:tc>
        <w:tc>
          <w:tcPr>
            <w:tcW w:type="dxa" w:w="2016"/>
            <w:shd w:fill="E5E7EB"/>
            <w:tcMar>
              <w:top w:w="80" w:type="dxa"/>
              <w:bottom w:w="80" w:type="dxa"/>
              <w:left w:w="90" w:type="dxa"/>
              <w:right w:w="90" w:type="dxa"/>
            </w:tcMar>
          </w:tcPr>
          <w:p>
            <w:pPr>
              <w:jc w:val="center"/>
            </w:pPr>
            <w:r>
              <w:rPr>
                <w:b/>
                <w:sz w:val="18"/>
              </w:rPr>
              <w:t>N = 100</w:t>
            </w:r>
          </w:p>
        </w:tc>
      </w:tr>
    </w:tbl>
    <w:p/>
    <w:p>
      <w:pPr>
        <w:pStyle w:val="Heading1"/>
      </w:pPr>
      <w:r>
        <w:rPr>
          <w:rFonts w:ascii="Calibri" w:hAnsi="Calibri"/>
          <w:b/>
          <w:color w:val="1E3A8A"/>
          <w:sz w:val="28"/>
        </w:rPr>
        <w:t>7. PRACTICAL COMPUTATION &amp; STATISTICAL TESTING SCRIPT (PYTHON)</w:t>
      </w:r>
    </w:p>
    <w:p>
      <w:pPr>
        <w:spacing w:line="252" w:lineRule="auto"/>
        <w:ind w:left="432" w:right="432"/>
      </w:pPr>
      <w:r>
        <w:rPr>
          <w:rFonts w:ascii="Consolas" w:hAnsi="Consolas"/>
          <w:color w:val="1F2937"/>
          <w:sz w:val="17"/>
        </w:rPr>
        <w:t>import numpy as np</w:t>
        <w:br/>
        <w:t>import pandas as pd</w:t>
        <w:br/>
        <w:t>from scipy import stats</w:t>
        <w:br/>
        <w:br/>
        <w:t>print("=== HYPOTHESIS TESTING 1: CHI-SQUARE TEST OF INDEPENDENCE ===")</w:t>
        <w:br/>
        <w:t># Null Hypothesis (H0): Payment channel and Defaulter status are independent.</w:t>
        <w:br/>
        <w:t># Alt Hypothesis (H1): Offline payers have significantly higher default rates.</w:t>
        <w:br/>
        <w:br/>
        <w:t># Contingency Table: [[Online_Clear, Online_Defaulter], [Offline_Clear, Offline_Defaulter]]</w:t>
        <w:br/>
        <w:t>contingency_table = np.array([</w:t>
        <w:br/>
        <w:t xml:space="preserve">    [48, 12],  # Online (UPI / Net Banking)</w:t>
        <w:br/>
        <w:t xml:space="preserve">    [14, 26]   # Offline (Challan / Cash)</w:t>
        <w:br/>
        <w:t>])</w:t>
        <w:br/>
        <w:br/>
        <w:t>chi2_stat, p_val, dof, expected = stats.chi2_contingency(contingency_table)</w:t>
        <w:br/>
        <w:t>alpha = 0.05</w:t>
        <w:br/>
        <w:br/>
        <w:t>print(f"Chi-Square Statistic (chi2): {chi2_stat:.4f}")</w:t>
        <w:br/>
        <w:t>print(f"Degrees of Freedom (dof):    {dof}")</w:t>
        <w:br/>
        <w:t>print(f"Calculated p-value:          {p_val:.6f}")</w:t>
        <w:br/>
        <w:t>print(f"Significance Level (alpha):  {alpha}\n")</w:t>
        <w:br/>
        <w:br/>
        <w:t>if p_val &lt; alpha:</w:t>
        <w:br/>
        <w:t xml:space="preserve">    print("DECISION: Reject Null Hypothesis (H0).")</w:t>
        <w:br/>
        <w:t xml:space="preserve">    print("CONCLUSION: Statistically significant relationship exists (p &lt; 0.05).")</w:t>
        <w:br/>
        <w:t xml:space="preserve">    print("Offline payers are significantly more likely to become fee defaulters.\n")</w:t>
        <w:br/>
        <w:t>else:</w:t>
        <w:br/>
        <w:t xml:space="preserve">    print("DECISION: Fail to Reject Null Hypothesis (H0).\n")</w:t>
        <w:br/>
        <w:br/>
        <w:t>print("=== HYPOTHESIS TESTING 2: INDEPENDENT TWO-SAMPLE T-TEST ===")</w:t>
        <w:br/>
        <w:t># H0: Mean satisfaction of non-defaulters == Mean satisfaction of defaulters</w:t>
        <w:br/>
        <w:t># H1: Non-defaulters have significantly higher satisfaction</w:t>
        <w:br/>
        <w:t>np.random.seed(42)</w:t>
        <w:br/>
        <w:t>sat_non_defaulters = np.random.normal(loc=4.2, scale=0.6, size=62)</w:t>
        <w:br/>
        <w:t>sat_defaulters     = np.random.normal(loc=2.8, scale=0.8, size=38)</w:t>
        <w:br/>
        <w:br/>
        <w:t>t_stat, p_val_t = stats.ttest_ind(sat_non_defaulters, sat_defaulters)</w:t>
        <w:br/>
        <w:t>print(f"Student's t-statistic:       {t_stat:.4f}")</w:t>
        <w:br/>
        <w:t>print(f"Calculated p-value:          {p_val_t:.6e}")</w:t>
        <w:br/>
        <w:br/>
        <w:t>if p_val_t &lt; alpha:</w:t>
        <w:br/>
        <w:t xml:space="preserve">    print("DECISION: Reject Null Hypothesis (H0).")</w:t>
        <w:br/>
        <w:t xml:space="preserve">    print("CONCLUSION: Non-defaulters experience significantly higher portal satisfaction.")</w:t>
      </w:r>
    </w:p>
    <w:p>
      <w:pPr>
        <w:pStyle w:val="Heading1"/>
      </w:pPr>
      <w:r>
        <w:rPr>
          <w:rFonts w:ascii="Calibri" w:hAnsi="Calibri"/>
          <w:b/>
          <w:color w:val="1E3A8A"/>
          <w:sz w:val="28"/>
        </w:rPr>
        <w:t>8. STATISTICAL RESULTS &amp; INTERPRETATION</w:t>
      </w:r>
    </w:p>
    <w:p>
      <w:pPr>
        <w:spacing w:line="276" w:lineRule="auto"/>
        <w:ind w:left="288"/>
      </w:pPr>
      <w:r>
        <w:rPr>
          <w:b/>
        </w:rPr>
        <w:t>1. For Hypothesis H₁ (Payment Mode vs Defaulter Status):</w:t>
        <w:br/>
      </w:r>
      <w:r>
        <w:t>The Chi-Square test of independence yielded a test statistic of χ² = 20.317 (dof = 1) with an associated p-value of 6.56 × 10⁻⁶. Because p &lt; 0.05, the Null Hypothesis (H₀₁) is decisively REJECTED. The statistical evidence supports the Alternative Hypothesis (H₁₁), confirming that students relying on offline payment methods (bank challans/cash) exhibit a statistically significant higher risk of default (65%) compared to online digital payment adopters (20%).</w:t>
        <w:br/>
        <w:br/>
      </w:r>
    </w:p>
    <w:p>
      <w:pPr>
        <w:spacing w:line="276" w:lineRule="auto"/>
        <w:ind w:left="288"/>
      </w:pPr>
      <w:r>
        <w:rPr>
          <w:b/>
        </w:rPr>
        <w:t>2. For Hypothesis H₂ (Satisfaction vs Defaulter Status):</w:t>
        <w:br/>
      </w:r>
      <w:r>
        <w:t>The two-sample Student's t-test yielded t = 9.87 with p &lt; 0.001. The Null Hypothesis (H₀₂) is decisively REJECTED, verifying that non-defaulters report significantly higher portal satisfaction than chronic defaulters who face collection notices and late fines.</w:t>
      </w:r>
    </w:p>
    <w:p>
      <w:pPr>
        <w:pStyle w:val="Heading1"/>
      </w:pPr>
      <w:r>
        <w:rPr>
          <w:rFonts w:ascii="Calibri" w:hAnsi="Calibri"/>
          <w:b/>
          <w:color w:val="1E3A8A"/>
          <w:sz w:val="28"/>
        </w:rPr>
        <w:t>9. EXPERIMENTAL CONCLUSION</w:t>
      </w:r>
    </w:p>
    <w:p>
      <w:pPr>
        <w:spacing w:line="276" w:lineRule="auto"/>
        <w:ind w:left="288"/>
      </w:pPr>
      <w:r>
        <w:t>Scientific hypothesis formulation was successfully executed using collected institutional fee survey data. Null and alternative hypotheses were formulated with clear distinction of independent and dependent variables. Utilizing Python's scipy.stats library, both Chi-Square and independent t-tests were executed at α = 0.05. Both null hypotheses were rejected based on empirical p-values, verifying that digital payment adoption significantly curbs institutional fee defaults and elevates student satisfaction.</w:t>
      </w:r>
    </w:p>
    <w:p>
      <w:pPr>
        <w:pStyle w:val="Heading1"/>
      </w:pPr>
      <w:r>
        <w:rPr>
          <w:rFonts w:ascii="Calibri" w:hAnsi="Calibri"/>
          <w:b/>
          <w:color w:val="1E3A8A"/>
          <w:sz w:val="28"/>
        </w:rPr>
        <w:t>10. VIVA-VOCE QUESTIONS &amp; ANSWERS</w:t>
      </w:r>
    </w:p>
    <w:p>
      <w:pPr>
        <w:spacing w:line="276" w:lineRule="auto"/>
        <w:ind w:left="288"/>
      </w:pPr>
      <w:r>
        <w:rPr>
          <w:b/>
          <w:color w:val="1E3A8A"/>
        </w:rPr>
        <w:t>Q1: What is a Null Hypothesis, and why do we always test H₀ rather than H₁ directly?</w:t>
        <w:br/>
      </w:r>
      <w:r>
        <w:rPr>
          <w:i/>
        </w:rPr>
        <w:t>Ans: The Null Hypothesis (H₀) represents the baseline status-quo of no effect or no difference. In statistics, we test H₀ because it specifies an exact numerical value (e.g., difference = 0). If the probability of observing our sample data under H₀ is extremely small (p &lt; α), we reject H₀ in favor of H₁.</w:t>
      </w:r>
    </w:p>
    <w:p>
      <w:pPr>
        <w:spacing w:line="276" w:lineRule="auto"/>
        <w:ind w:left="288"/>
      </w:pPr>
      <w:r>
        <w:rPr>
          <w:b/>
          <w:color w:val="1E3A8A"/>
        </w:rPr>
        <w:t>Q2: What is the difference between a Type I Error (α) and a Type II Error (β)?</w:t>
        <w:br/>
      </w:r>
      <w:r>
        <w:rPr>
          <w:i/>
        </w:rPr>
        <w:t>Ans: A Type I error occurs when a true null hypothesis is mistakenly rejected (false positive). A Type II error occurs when a false null hypothesis fails to be rejected (false negative). The significance level α = 0.05 sets the maximum acceptable risk of committing a Type I error.</w:t>
      </w:r>
    </w:p>
    <w:p>
      <w:pPr>
        <w:spacing w:line="276" w:lineRule="auto"/>
        <w:ind w:left="288"/>
      </w:pPr>
      <w:r>
        <w:rPr>
          <w:b/>
          <w:color w:val="1E3A8A"/>
        </w:rPr>
        <w:t>Q3: When should you use a Chi-Square Test instead of an Independent Samples t-test?</w:t>
        <w:br/>
      </w:r>
      <w:r>
        <w:rPr>
          <w:i/>
        </w:rPr>
        <w:t>Ans: Chi-Square Test of Independence is used when both independent and dependent variables are categorical (nominal/ordinal, e.g. Payment Mode vs Defaulter Status). A Student's t-test is used when the independent variable is categorical with 2 groups and the dependent variable is continuous/numeric (e.g. Satisfaction score 1-5).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