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portfolio-design-document"/>
    <w:p>
      <w:pPr>
        <w:pStyle w:val="Heading1"/>
      </w:pPr>
      <w:r>
        <w:t xml:space="preserve">Portfolio Design Document</w:t>
      </w:r>
    </w:p>
    <w:bookmarkStart w:id="20" w:name="product-name"/>
    <w:p>
      <w:pPr>
        <w:pStyle w:val="Heading2"/>
      </w:pPr>
      <w:r>
        <w:t xml:space="preserve">Product Name</w:t>
      </w:r>
    </w:p>
    <w:p>
      <w:pPr>
        <w:pStyle w:val="FirstParagraph"/>
      </w:pPr>
      <w:r>
        <w:rPr>
          <w:b/>
          <w:bCs/>
        </w:rPr>
        <w:t xml:space="preserve">Adarsha K K – Freelance Developer Portfolio</w:t>
      </w:r>
    </w:p>
    <w:bookmarkEnd w:id="20"/>
    <w:bookmarkStart w:id="21" w:name="owner"/>
    <w:p>
      <w:pPr>
        <w:pStyle w:val="Heading2"/>
      </w:pPr>
      <w:r>
        <w:t xml:space="preserve">Owner</w:t>
      </w:r>
    </w:p>
    <w:p>
      <w:pPr>
        <w:pStyle w:val="FirstParagraph"/>
      </w:pPr>
      <w:r>
        <w:rPr>
          <w:b/>
          <w:bCs/>
        </w:rPr>
        <w:t xml:space="preserve">Adarsha K K</w:t>
      </w:r>
      <w:r>
        <w:br/>
      </w:r>
      <w:r>
        <w:t xml:space="preserve">Freelance Full‑Stack Engineer · AI &amp; Cloud</w:t>
      </w:r>
    </w:p>
    <w:bookmarkEnd w:id="21"/>
    <w:bookmarkStart w:id="22" w:name="document-purpose"/>
    <w:p>
      <w:pPr>
        <w:pStyle w:val="Heading2"/>
      </w:pPr>
      <w:r>
        <w:t xml:space="preserve">Document Purpose</w:t>
      </w:r>
    </w:p>
    <w:p>
      <w:pPr>
        <w:pStyle w:val="FirstParagraph"/>
      </w:pPr>
      <w:r>
        <w:t xml:space="preserve">This document defines the</w:t>
      </w:r>
      <w:r>
        <w:t xml:space="preserve"> </w:t>
      </w:r>
      <w:r>
        <w:rPr>
          <w:b/>
          <w:bCs/>
        </w:rPr>
        <w:t xml:space="preserve">complete design system</w:t>
      </w:r>
      <w:r>
        <w:t xml:space="preserve"> </w:t>
      </w:r>
      <w:r>
        <w:t xml:space="preserve">(visual, structural, interaction, and content rules) for building Adarsha K K’s freelance portfolio website.</w:t>
      </w:r>
    </w:p>
    <w:p>
      <w:pPr>
        <w:pStyle w:val="BodyText"/>
      </w:pPr>
      <w:r>
        <w:t xml:space="preserve">It is intended to:</w:t>
      </w:r>
      <w:r>
        <w:t xml:space="preserve"> </w:t>
      </w:r>
      <w:r>
        <w:t xml:space="preserve">- Act as a single source of truth while designing and building the website</w:t>
      </w:r>
      <w:r>
        <w:t xml:space="preserve"> </w:t>
      </w:r>
      <w:r>
        <w:t xml:space="preserve">- Prevent design drift</w:t>
      </w:r>
      <w:r>
        <w:t xml:space="preserve"> </w:t>
      </w:r>
      <w:r>
        <w:t xml:space="preserve">- Ensure consistency across all sections</w:t>
      </w:r>
      <w:r>
        <w:t xml:space="preserve"> </w:t>
      </w:r>
      <w:r>
        <w:t xml:space="preserve">- Optimize the site for</w:t>
      </w:r>
      <w:r>
        <w:t xml:space="preserve"> </w:t>
      </w:r>
      <w:r>
        <w:rPr>
          <w:b/>
          <w:bCs/>
        </w:rPr>
        <w:t xml:space="preserve">freelance conversion</w:t>
      </w:r>
      <w:r>
        <w:t xml:space="preserve">, not just presentation</w:t>
      </w:r>
    </w:p>
    <w:p>
      <w:pPr>
        <w:pStyle w:val="BodyText"/>
      </w:pPr>
      <w:r>
        <w:t xml:space="preserve">This design system is derived strictly from the following references:</w:t>
      </w:r>
      <w:r>
        <w:t xml:space="preserve"> </w:t>
      </w:r>
      <w:r>
        <w:t xml:space="preserve">- 21st.dev – Portfolio Hero (wisedev)</w:t>
      </w:r>
      <w:r>
        <w:t xml:space="preserve"> </w:t>
      </w:r>
      <w:r>
        <w:t xml:space="preserve">- 21st.dev – Floating Card Gallery (Projects)</w:t>
      </w:r>
      <w:r>
        <w:t xml:space="preserve"> </w:t>
      </w:r>
      <w:r>
        <w:t xml:space="preserve">- 21st.dev – Skills Showcase</w:t>
      </w:r>
      <w:r>
        <w:t xml:space="preserve"> </w:t>
      </w:r>
      <w:r>
        <w:t xml:space="preserve">- 21st.dev – Contact Details (ravikatiyar)</w:t>
      </w:r>
    </w:p>
    <w:p>
      <w:r>
        <w:pict>
          <v:rect style="width:0;height:1.5pt" o:hralign="center" o:hrstd="t" o:hr="t"/>
        </w:pict>
      </w:r>
    </w:p>
    <w:bookmarkEnd w:id="22"/>
    <w:bookmarkStart w:id="26" w:name="design-philosophy"/>
    <w:p>
      <w:pPr>
        <w:pStyle w:val="Heading2"/>
      </w:pPr>
      <w:r>
        <w:t xml:space="preserve">1. Design Philosophy</w:t>
      </w:r>
    </w:p>
    <w:bookmarkStart w:id="23" w:name="core-objective"/>
    <w:p>
      <w:pPr>
        <w:pStyle w:val="Heading3"/>
      </w:pPr>
      <w:r>
        <w:t xml:space="preserve">Core Objective</w:t>
      </w:r>
    </w:p>
    <w:p>
      <w:pPr>
        <w:pStyle w:val="FirstParagraph"/>
      </w:pPr>
      <w:r>
        <w:t xml:space="preserve">The portfolio is a</w:t>
      </w:r>
      <w:r>
        <w:t xml:space="preserve"> </w:t>
      </w:r>
      <w:r>
        <w:rPr>
          <w:b/>
          <w:bCs/>
        </w:rPr>
        <w:t xml:space="preserve">business asset</w:t>
      </w:r>
      <w:r>
        <w:t xml:space="preserve">, not a personal gallery.</w:t>
      </w:r>
    </w:p>
    <w:p>
      <w:pPr>
        <w:pStyle w:val="BodyText"/>
      </w:pPr>
      <w:r>
        <w:t xml:space="preserve">Primary question it must answer:</w:t>
      </w:r>
      <w:r>
        <w:t xml:space="preserve"> </w:t>
      </w:r>
      <w:r>
        <w:t xml:space="preserve">&gt;</w:t>
      </w:r>
      <w:r>
        <w:t xml:space="preserve"> </w:t>
      </w:r>
      <w:r>
        <w:t xml:space="preserve">“Can I trust this freelancer to design, build, and ship real software?”</w:t>
      </w:r>
    </w:p>
    <w:bookmarkEnd w:id="23"/>
    <w:bookmarkStart w:id="24" w:name="design-values"/>
    <w:p>
      <w:pPr>
        <w:pStyle w:val="Heading3"/>
      </w:pPr>
      <w:r>
        <w:t xml:space="preserve">Design Values</w:t>
      </w:r>
    </w:p>
    <w:p>
      <w:pPr>
        <w:pStyle w:val="Compact"/>
        <w:numPr>
          <w:ilvl w:val="0"/>
          <w:numId w:val="1001"/>
        </w:numPr>
      </w:pPr>
      <w:r>
        <w:t xml:space="preserve">Calm confidence</w:t>
      </w:r>
    </w:p>
    <w:p>
      <w:pPr>
        <w:pStyle w:val="Compact"/>
        <w:numPr>
          <w:ilvl w:val="0"/>
          <w:numId w:val="1001"/>
        </w:numPr>
      </w:pPr>
      <w:r>
        <w:t xml:space="preserve">High readability</w:t>
      </w:r>
    </w:p>
    <w:p>
      <w:pPr>
        <w:pStyle w:val="Compact"/>
        <w:numPr>
          <w:ilvl w:val="0"/>
          <w:numId w:val="1001"/>
        </w:numPr>
      </w:pPr>
      <w:r>
        <w:t xml:space="preserve">Minimal but intentional UI</w:t>
      </w:r>
    </w:p>
    <w:p>
      <w:pPr>
        <w:pStyle w:val="Compact"/>
        <w:numPr>
          <w:ilvl w:val="0"/>
          <w:numId w:val="1001"/>
        </w:numPr>
      </w:pPr>
      <w:r>
        <w:t xml:space="preserve">Engineering‑first mindset</w:t>
      </w:r>
    </w:p>
    <w:p>
      <w:pPr>
        <w:pStyle w:val="Compact"/>
        <w:numPr>
          <w:ilvl w:val="0"/>
          <w:numId w:val="1001"/>
        </w:numPr>
      </w:pPr>
      <w:r>
        <w:t xml:space="preserve">Trust &gt; visual flair</w:t>
      </w:r>
    </w:p>
    <w:bookmarkEnd w:id="24"/>
    <w:bookmarkStart w:id="25" w:name="what-this-design-explicitly-avoids"/>
    <w:p>
      <w:pPr>
        <w:pStyle w:val="Heading3"/>
      </w:pPr>
      <w:r>
        <w:t xml:space="preserve">What This Design Explicitly Avoids</w:t>
      </w:r>
    </w:p>
    <w:p>
      <w:pPr>
        <w:pStyle w:val="Compact"/>
        <w:numPr>
          <w:ilvl w:val="0"/>
          <w:numId w:val="1002"/>
        </w:numPr>
      </w:pPr>
      <w:r>
        <w:t xml:space="preserve">Student‑style portfolios</w:t>
      </w:r>
    </w:p>
    <w:p>
      <w:pPr>
        <w:pStyle w:val="Compact"/>
        <w:numPr>
          <w:ilvl w:val="0"/>
          <w:numId w:val="1002"/>
        </w:numPr>
      </w:pPr>
      <w:r>
        <w:t xml:space="preserve">Over‑animated interfaces</w:t>
      </w:r>
    </w:p>
    <w:p>
      <w:pPr>
        <w:pStyle w:val="Compact"/>
        <w:numPr>
          <w:ilvl w:val="0"/>
          <w:numId w:val="1002"/>
        </w:numPr>
      </w:pPr>
      <w:r>
        <w:t xml:space="preserve">Visual gimmicks</w:t>
      </w:r>
    </w:p>
    <w:p>
      <w:pPr>
        <w:pStyle w:val="Compact"/>
        <w:numPr>
          <w:ilvl w:val="0"/>
          <w:numId w:val="1002"/>
        </w:numPr>
      </w:pPr>
      <w:r>
        <w:t xml:space="preserve">Trend‑chasing layouts</w:t>
      </w:r>
    </w:p>
    <w:p>
      <w:pPr>
        <w:pStyle w:val="Compact"/>
        <w:numPr>
          <w:ilvl w:val="0"/>
          <w:numId w:val="1002"/>
        </w:numPr>
      </w:pPr>
      <w:r>
        <w:t xml:space="preserve">Decorative elements without purpose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target-audience"/>
    <w:p>
      <w:pPr>
        <w:pStyle w:val="Heading2"/>
      </w:pPr>
      <w:r>
        <w:t xml:space="preserve">2. Target Audience</w:t>
      </w:r>
    </w:p>
    <w:bookmarkStart w:id="27" w:name="primary-users"/>
    <w:p>
      <w:pPr>
        <w:pStyle w:val="Heading3"/>
      </w:pPr>
      <w:r>
        <w:t xml:space="preserve">Primary Users</w:t>
      </w:r>
    </w:p>
    <w:p>
      <w:pPr>
        <w:pStyle w:val="Compact"/>
        <w:numPr>
          <w:ilvl w:val="0"/>
          <w:numId w:val="1003"/>
        </w:numPr>
      </w:pPr>
      <w:r>
        <w:t xml:space="preserve">Startup founders</w:t>
      </w:r>
    </w:p>
    <w:p>
      <w:pPr>
        <w:pStyle w:val="Compact"/>
        <w:numPr>
          <w:ilvl w:val="0"/>
          <w:numId w:val="1003"/>
        </w:numPr>
      </w:pPr>
      <w:r>
        <w:t xml:space="preserve">Solo founders</w:t>
      </w:r>
    </w:p>
    <w:p>
      <w:pPr>
        <w:pStyle w:val="Compact"/>
        <w:numPr>
          <w:ilvl w:val="0"/>
          <w:numId w:val="1003"/>
        </w:numPr>
      </w:pPr>
      <w:r>
        <w:t xml:space="preserve">Small to mid‑size businesses</w:t>
      </w:r>
    </w:p>
    <w:p>
      <w:pPr>
        <w:pStyle w:val="Compact"/>
        <w:numPr>
          <w:ilvl w:val="0"/>
          <w:numId w:val="1003"/>
        </w:numPr>
      </w:pPr>
      <w:r>
        <w:t xml:space="preserve">Clients hiring freelance engineers</w:t>
      </w:r>
    </w:p>
    <w:bookmarkEnd w:id="27"/>
    <w:bookmarkStart w:id="28" w:name="secondary-users"/>
    <w:p>
      <w:pPr>
        <w:pStyle w:val="Heading3"/>
      </w:pPr>
      <w:r>
        <w:t xml:space="preserve">Secondary Users</w:t>
      </w:r>
    </w:p>
    <w:p>
      <w:pPr>
        <w:pStyle w:val="Compact"/>
        <w:numPr>
          <w:ilvl w:val="0"/>
          <w:numId w:val="1004"/>
        </w:numPr>
      </w:pPr>
      <w:r>
        <w:t xml:space="preserve">Technical recruiters</w:t>
      </w:r>
    </w:p>
    <w:p>
      <w:pPr>
        <w:pStyle w:val="Compact"/>
        <w:numPr>
          <w:ilvl w:val="0"/>
          <w:numId w:val="1004"/>
        </w:numPr>
      </w:pPr>
      <w:r>
        <w:t xml:space="preserve">Hiring managers</w:t>
      </w:r>
    </w:p>
    <w:p>
      <w:pPr>
        <w:pStyle w:val="Compact"/>
        <w:numPr>
          <w:ilvl w:val="0"/>
          <w:numId w:val="1004"/>
        </w:numPr>
      </w:pPr>
      <w:r>
        <w:t xml:space="preserve">Engineers reviewing capability</w:t>
      </w:r>
    </w:p>
    <w:p>
      <w:pPr>
        <w:pStyle w:val="FirstParagraph"/>
      </w:pPr>
      <w:r>
        <w:t xml:space="preserve">The design assumes:</w:t>
      </w:r>
      <w:r>
        <w:t xml:space="preserve"> </w:t>
      </w:r>
      <w:r>
        <w:t xml:space="preserve">- Low attention span</w:t>
      </w:r>
      <w:r>
        <w:t xml:space="preserve"> </w:t>
      </w:r>
      <w:r>
        <w:t xml:space="preserve">- High expectations</w:t>
      </w:r>
      <w:r>
        <w:t xml:space="preserve"> </w:t>
      </w:r>
      <w:r>
        <w:t xml:space="preserve">- Business‑oriented visitors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information-architecture-page-flow"/>
    <w:p>
      <w:pPr>
        <w:pStyle w:val="Heading2"/>
      </w:pPr>
      <w:r>
        <w:t xml:space="preserve">3. Information Architecture (Page Flow)</w:t>
      </w:r>
    </w:p>
    <w:p>
      <w:pPr>
        <w:pStyle w:val="FirstParagraph"/>
      </w:pPr>
      <w:r>
        <w:t xml:space="preserve">The website follows a</w:t>
      </w:r>
      <w:r>
        <w:t xml:space="preserve"> </w:t>
      </w:r>
      <w:r>
        <w:rPr>
          <w:b/>
          <w:bCs/>
        </w:rPr>
        <w:t xml:space="preserve">single‑page vertical flow</w:t>
      </w:r>
      <w:r>
        <w:t xml:space="preserve"> </w:t>
      </w:r>
      <w:r>
        <w:t xml:space="preserve">optimized for freelance decision‑making:</w:t>
      </w:r>
    </w:p>
    <w:p>
      <w:pPr>
        <w:pStyle w:val="Compact"/>
        <w:numPr>
          <w:ilvl w:val="0"/>
          <w:numId w:val="1005"/>
        </w:numPr>
      </w:pPr>
      <w:r>
        <w:t xml:space="preserve">Hero – Identity &amp; positioning</w:t>
      </w:r>
    </w:p>
    <w:p>
      <w:pPr>
        <w:pStyle w:val="Compact"/>
        <w:numPr>
          <w:ilvl w:val="0"/>
          <w:numId w:val="1005"/>
        </w:numPr>
      </w:pPr>
      <w:r>
        <w:t xml:space="preserve">Services – What is offered</w:t>
      </w:r>
    </w:p>
    <w:p>
      <w:pPr>
        <w:pStyle w:val="Compact"/>
        <w:numPr>
          <w:ilvl w:val="0"/>
          <w:numId w:val="1005"/>
        </w:numPr>
      </w:pPr>
      <w:r>
        <w:t xml:space="preserve">Projects – Proof of work</w:t>
      </w:r>
    </w:p>
    <w:p>
      <w:pPr>
        <w:pStyle w:val="Compact"/>
        <w:numPr>
          <w:ilvl w:val="0"/>
          <w:numId w:val="1005"/>
        </w:numPr>
      </w:pPr>
      <w:r>
        <w:t xml:space="preserve">Skills – Capabilities</w:t>
      </w:r>
    </w:p>
    <w:p>
      <w:pPr>
        <w:pStyle w:val="Compact"/>
        <w:numPr>
          <w:ilvl w:val="0"/>
          <w:numId w:val="1005"/>
        </w:numPr>
      </w:pPr>
      <w:r>
        <w:t xml:space="preserve">How I Work – Process &amp; reliability</w:t>
      </w:r>
    </w:p>
    <w:p>
      <w:pPr>
        <w:pStyle w:val="Compact"/>
        <w:numPr>
          <w:ilvl w:val="0"/>
          <w:numId w:val="1005"/>
        </w:numPr>
      </w:pPr>
      <w:r>
        <w:t xml:space="preserve">Contact – Reachability</w:t>
      </w:r>
    </w:p>
    <w:p>
      <w:pPr>
        <w:pStyle w:val="FirstParagraph"/>
      </w:pPr>
      <w:r>
        <w:t xml:space="preserve">Each section has a</w:t>
      </w:r>
      <w:r>
        <w:t xml:space="preserve"> </w:t>
      </w:r>
      <w:r>
        <w:rPr>
          <w:b/>
          <w:bCs/>
        </w:rPr>
        <w:t xml:space="preserve">clear job</w:t>
      </w:r>
      <w:r>
        <w:t xml:space="preserve"> </w:t>
      </w:r>
      <w:r>
        <w:t xml:space="preserve">and must not overlap responsibilities.</w:t>
      </w:r>
    </w:p>
    <w:p>
      <w:r>
        <w:pict>
          <v:rect style="width:0;height:1.5pt" o:hralign="center" o:hrstd="t" o:hr="t"/>
        </w:pict>
      </w:r>
    </w:p>
    <w:bookmarkEnd w:id="30"/>
    <w:bookmarkStart w:id="33" w:name="global-layout-system"/>
    <w:p>
      <w:pPr>
        <w:pStyle w:val="Heading2"/>
      </w:pPr>
      <w:r>
        <w:t xml:space="preserve">4. Global Layout System</w:t>
      </w:r>
    </w:p>
    <w:bookmarkStart w:id="31" w:name="container-rules"/>
    <w:p>
      <w:pPr>
        <w:pStyle w:val="Heading3"/>
      </w:pPr>
      <w:r>
        <w:t xml:space="preserve">Container Rules</w:t>
      </w:r>
    </w:p>
    <w:p>
      <w:pPr>
        <w:pStyle w:val="Compact"/>
        <w:numPr>
          <w:ilvl w:val="0"/>
          <w:numId w:val="1006"/>
        </w:numPr>
      </w:pPr>
      <w:r>
        <w:t xml:space="preserve">Max width:</w:t>
      </w:r>
      <w:r>
        <w:t xml:space="preserve"> </w:t>
      </w:r>
      <w:r>
        <w:rPr>
          <w:rStyle w:val="VerbatimChar"/>
        </w:rPr>
        <w:t xml:space="preserve">1100–1200px</w:t>
      </w:r>
      <w:r>
        <w:t xml:space="preserve"> </w:t>
      </w:r>
      <w:r>
        <w:t xml:space="preserve">(</w:t>
      </w:r>
      <w:r>
        <w:rPr>
          <w:rStyle w:val="VerbatimChar"/>
        </w:rPr>
        <w:t xml:space="preserve">max-w-5xl / max-w-6xl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Centered layout</w:t>
      </w:r>
    </w:p>
    <w:p>
      <w:pPr>
        <w:pStyle w:val="Compact"/>
        <w:numPr>
          <w:ilvl w:val="0"/>
          <w:numId w:val="1006"/>
        </w:numPr>
      </w:pPr>
      <w:r>
        <w:t xml:space="preserve">Horizontal padding:</w:t>
      </w:r>
      <w:r>
        <w:t xml:space="preserve"> </w:t>
      </w:r>
      <w:r>
        <w:rPr>
          <w:rStyle w:val="VerbatimChar"/>
        </w:rPr>
        <w:t xml:space="preserve">24px (px-6)</w:t>
      </w:r>
    </w:p>
    <w:bookmarkEnd w:id="31"/>
    <w:bookmarkStart w:id="32" w:name="vertical-rhythm"/>
    <w:p>
      <w:pPr>
        <w:pStyle w:val="Heading3"/>
      </w:pPr>
      <w:r>
        <w:t xml:space="preserve">Vertical Rhythm</w:t>
      </w:r>
    </w:p>
    <w:p>
      <w:pPr>
        <w:pStyle w:val="Compact"/>
        <w:numPr>
          <w:ilvl w:val="0"/>
          <w:numId w:val="1007"/>
        </w:numPr>
      </w:pPr>
      <w:r>
        <w:t xml:space="preserve">Section spacing:</w:t>
      </w:r>
      <w:r>
        <w:t xml:space="preserve"> </w:t>
      </w:r>
      <w:r>
        <w:rPr>
          <w:rStyle w:val="VerbatimChar"/>
        </w:rPr>
        <w:t xml:space="preserve">128px (py-32)</w:t>
      </w:r>
    </w:p>
    <w:p>
      <w:pPr>
        <w:pStyle w:val="Compact"/>
        <w:numPr>
          <w:ilvl w:val="0"/>
          <w:numId w:val="1007"/>
        </w:numPr>
      </w:pPr>
      <w:r>
        <w:t xml:space="preserve">Internal spacing uses multiples of 8px</w:t>
      </w:r>
    </w:p>
    <w:p>
      <w:pPr>
        <w:pStyle w:val="Compact"/>
        <w:numPr>
          <w:ilvl w:val="0"/>
          <w:numId w:val="1007"/>
        </w:numPr>
      </w:pPr>
      <w:r>
        <w:t xml:space="preserve">Large gaps are intentional and mandatory</w:t>
      </w:r>
    </w:p>
    <w:p>
      <w:pPr>
        <w:pStyle w:val="FirstParagraph"/>
      </w:pPr>
      <w:r>
        <w:t xml:space="preserve">Whitespace is a</w:t>
      </w:r>
      <w:r>
        <w:t xml:space="preserve"> </w:t>
      </w:r>
      <w:r>
        <w:rPr>
          <w:b/>
          <w:bCs/>
        </w:rPr>
        <w:t xml:space="preserve">design tool</w:t>
      </w:r>
      <w:r>
        <w:t xml:space="preserve">, not empty space.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typography-system-critical"/>
    <w:p>
      <w:pPr>
        <w:pStyle w:val="Heading2"/>
      </w:pPr>
      <w:r>
        <w:t xml:space="preserve">5. Typography System (Critical)</w:t>
      </w:r>
    </w:p>
    <w:p>
      <w:pPr>
        <w:pStyle w:val="FirstParagraph"/>
      </w:pPr>
      <w:r>
        <w:t xml:space="preserve">Typography carries the entire design.</w:t>
      </w:r>
    </w:p>
    <w:bookmarkStart w:id="34" w:name="font-style"/>
    <w:p>
      <w:pPr>
        <w:pStyle w:val="Heading3"/>
      </w:pPr>
      <w:r>
        <w:t xml:space="preserve">Font Style</w:t>
      </w:r>
    </w:p>
    <w:p>
      <w:pPr>
        <w:pStyle w:val="Compact"/>
        <w:numPr>
          <w:ilvl w:val="0"/>
          <w:numId w:val="1008"/>
        </w:numPr>
      </w:pPr>
      <w:r>
        <w:t xml:space="preserve">Sans‑serif (system / Inter‑like)</w:t>
      </w:r>
    </w:p>
    <w:p>
      <w:pPr>
        <w:pStyle w:val="Compact"/>
        <w:numPr>
          <w:ilvl w:val="0"/>
          <w:numId w:val="1008"/>
        </w:numPr>
      </w:pPr>
      <w:r>
        <w:t xml:space="preserve">Light to regular weights only</w:t>
      </w:r>
    </w:p>
    <w:bookmarkEnd w:id="34"/>
    <w:bookmarkStart w:id="35" w:name="type-scale"/>
    <w:p>
      <w:pPr>
        <w:pStyle w:val="Heading3"/>
      </w:pPr>
      <w:r>
        <w:t xml:space="preserve">Type Scale</w:t>
      </w:r>
    </w:p>
    <w:p>
      <w:pPr>
        <w:pStyle w:val="FirstParagraph"/>
      </w:pPr>
      <w:r>
        <w:rPr>
          <w:b/>
          <w:bCs/>
        </w:rPr>
        <w:t xml:space="preserve">Hero Headline</w:t>
      </w:r>
      <w:r>
        <w:t xml:space="preserve"> </w:t>
      </w:r>
      <w:r>
        <w:t xml:space="preserve">- Size:</w:t>
      </w:r>
      <w:r>
        <w:t xml:space="preserve"> </w:t>
      </w:r>
      <w:r>
        <w:rPr>
          <w:rStyle w:val="VerbatimChar"/>
        </w:rPr>
        <w:t xml:space="preserve">clamp(2.75rem, 6vw, 4.75rem)</w:t>
      </w:r>
      <w:r>
        <w:t xml:space="preserve"> </w:t>
      </w:r>
      <w:r>
        <w:t xml:space="preserve">- Weight: 300</w:t>
      </w:r>
      <w:r>
        <w:t xml:space="preserve"> </w:t>
      </w:r>
      <w:r>
        <w:t xml:space="preserve">- Line height: tight</w:t>
      </w:r>
      <w:r>
        <w:t xml:space="preserve"> </w:t>
      </w:r>
      <w:r>
        <w:t xml:space="preserve">- Color: White</w:t>
      </w:r>
    </w:p>
    <w:p>
      <w:pPr>
        <w:pStyle w:val="BodyText"/>
      </w:pPr>
      <w:r>
        <w:rPr>
          <w:b/>
          <w:bCs/>
        </w:rPr>
        <w:t xml:space="preserve">Section Labels</w:t>
      </w:r>
      <w:r>
        <w:t xml:space="preserve"> </w:t>
      </w:r>
      <w:r>
        <w:t xml:space="preserve">- Size:</w:t>
      </w:r>
      <w:r>
        <w:t xml:space="preserve"> </w:t>
      </w:r>
      <w:r>
        <w:rPr>
          <w:rStyle w:val="VerbatimChar"/>
        </w:rPr>
        <w:t xml:space="preserve">text-sm</w:t>
      </w:r>
      <w:r>
        <w:t xml:space="preserve"> </w:t>
      </w:r>
      <w:r>
        <w:t xml:space="preserve">- Case: Uppercase</w:t>
      </w:r>
      <w:r>
        <w:t xml:space="preserve"> </w:t>
      </w:r>
      <w:r>
        <w:t xml:space="preserve">- Tracking: Wide</w:t>
      </w:r>
      <w:r>
        <w:t xml:space="preserve"> </w:t>
      </w:r>
      <w:r>
        <w:t xml:space="preserve">- Color: Gray‑400</w:t>
      </w:r>
    </w:p>
    <w:p>
      <w:pPr>
        <w:pStyle w:val="BodyText"/>
      </w:pPr>
      <w:r>
        <w:rPr>
          <w:b/>
          <w:bCs/>
        </w:rPr>
        <w:t xml:space="preserve">Section Headings</w:t>
      </w:r>
      <w:r>
        <w:t xml:space="preserve"> </w:t>
      </w:r>
      <w:r>
        <w:t xml:space="preserve">- Size:</w:t>
      </w:r>
      <w:r>
        <w:t xml:space="preserve"> </w:t>
      </w:r>
      <w:r>
        <w:rPr>
          <w:rStyle w:val="VerbatimChar"/>
        </w:rPr>
        <w:t xml:space="preserve">text-2xl – text-3xl</w:t>
      </w:r>
      <w:r>
        <w:t xml:space="preserve"> </w:t>
      </w:r>
      <w:r>
        <w:t xml:space="preserve">- Weight: Light</w:t>
      </w:r>
    </w:p>
    <w:p>
      <w:pPr>
        <w:pStyle w:val="BodyText"/>
      </w:pPr>
      <w:r>
        <w:rPr>
          <w:b/>
          <w:bCs/>
        </w:rPr>
        <w:t xml:space="preserve">Body Text</w:t>
      </w:r>
      <w:r>
        <w:t xml:space="preserve"> </w:t>
      </w:r>
      <w:r>
        <w:t xml:space="preserve">- Size:</w:t>
      </w:r>
      <w:r>
        <w:t xml:space="preserve"> </w:t>
      </w:r>
      <w:r>
        <w:rPr>
          <w:rStyle w:val="VerbatimChar"/>
        </w:rPr>
        <w:t xml:space="preserve">text-lg</w:t>
      </w:r>
      <w:r>
        <w:t xml:space="preserve"> </w:t>
      </w:r>
      <w:r>
        <w:t xml:space="preserve">- Color: Gray‑400</w:t>
      </w:r>
      <w:r>
        <w:t xml:space="preserve"> </w:t>
      </w:r>
      <w:r>
        <w:t xml:space="preserve">- Line height: Relaxed</w:t>
      </w:r>
    </w:p>
    <w:p>
      <w:pPr>
        <w:pStyle w:val="BodyText"/>
      </w:pPr>
      <w:r>
        <w:rPr>
          <w:b/>
          <w:bCs/>
        </w:rPr>
        <w:t xml:space="preserve">Meta / Secondary Text</w:t>
      </w:r>
      <w:r>
        <w:t xml:space="preserve"> </w:t>
      </w:r>
      <w:r>
        <w:t xml:space="preserve">- Size:</w:t>
      </w:r>
      <w:r>
        <w:t xml:space="preserve"> </w:t>
      </w:r>
      <w:r>
        <w:rPr>
          <w:rStyle w:val="VerbatimChar"/>
        </w:rPr>
        <w:t xml:space="preserve">text-sm</w:t>
      </w:r>
      <w:r>
        <w:t xml:space="preserve"> </w:t>
      </w:r>
      <w:r>
        <w:t xml:space="preserve">- Color: Gray‑500</w:t>
      </w:r>
    </w:p>
    <w:bookmarkEnd w:id="35"/>
    <w:bookmarkStart w:id="36" w:name="typography-rules"/>
    <w:p>
      <w:pPr>
        <w:pStyle w:val="Heading3"/>
      </w:pPr>
      <w:r>
        <w:t xml:space="preserve">Typography Rules</w:t>
      </w:r>
    </w:p>
    <w:p>
      <w:pPr>
        <w:pStyle w:val="Compact"/>
        <w:numPr>
          <w:ilvl w:val="0"/>
          <w:numId w:val="1009"/>
        </w:numPr>
      </w:pPr>
      <w:r>
        <w:t xml:space="preserve">Maximum 2 font weights per section</w:t>
      </w:r>
    </w:p>
    <w:p>
      <w:pPr>
        <w:pStyle w:val="Compact"/>
        <w:numPr>
          <w:ilvl w:val="0"/>
          <w:numId w:val="1009"/>
        </w:numPr>
      </w:pPr>
      <w:r>
        <w:t xml:space="preserve">No bold paragraphs</w:t>
      </w:r>
    </w:p>
    <w:p>
      <w:pPr>
        <w:pStyle w:val="Compact"/>
        <w:numPr>
          <w:ilvl w:val="0"/>
          <w:numId w:val="1009"/>
        </w:numPr>
      </w:pPr>
      <w:r>
        <w:t xml:space="preserve">Headlines must be declarative statements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color-system"/>
    <w:p>
      <w:pPr>
        <w:pStyle w:val="Heading2"/>
      </w:pPr>
      <w:r>
        <w:t xml:space="preserve">6. Color System</w:t>
      </w:r>
    </w:p>
    <w:bookmarkStart w:id="38" w:name="base-colors"/>
    <w:p>
      <w:pPr>
        <w:pStyle w:val="Heading3"/>
      </w:pPr>
      <w:r>
        <w:t xml:space="preserve">Base Colors</w:t>
      </w:r>
    </w:p>
    <w:p>
      <w:pPr>
        <w:pStyle w:val="Compact"/>
        <w:numPr>
          <w:ilvl w:val="0"/>
          <w:numId w:val="1010"/>
        </w:numPr>
      </w:pPr>
      <w:r>
        <w:t xml:space="preserve">Background:</w:t>
      </w:r>
      <w:r>
        <w:t xml:space="preserve"> </w:t>
      </w:r>
      <w:r>
        <w:rPr>
          <w:rStyle w:val="VerbatimChar"/>
        </w:rPr>
        <w:t xml:space="preserve">#000000</w:t>
      </w:r>
    </w:p>
    <w:p>
      <w:pPr>
        <w:pStyle w:val="Compact"/>
        <w:numPr>
          <w:ilvl w:val="0"/>
          <w:numId w:val="1010"/>
        </w:numPr>
      </w:pPr>
      <w:r>
        <w:t xml:space="preserve">Primary Text:</w:t>
      </w:r>
      <w:r>
        <w:t xml:space="preserve"> </w:t>
      </w:r>
      <w:r>
        <w:rPr>
          <w:rStyle w:val="VerbatimChar"/>
        </w:rPr>
        <w:t xml:space="preserve">#FFFFFF</w:t>
      </w:r>
    </w:p>
    <w:p>
      <w:pPr>
        <w:pStyle w:val="Compact"/>
        <w:numPr>
          <w:ilvl w:val="0"/>
          <w:numId w:val="1010"/>
        </w:numPr>
      </w:pPr>
      <w:r>
        <w:t xml:space="preserve">Secondary Text: Gray‑400</w:t>
      </w:r>
    </w:p>
    <w:p>
      <w:pPr>
        <w:pStyle w:val="Compact"/>
        <w:numPr>
          <w:ilvl w:val="0"/>
          <w:numId w:val="1010"/>
        </w:numPr>
      </w:pPr>
      <w:r>
        <w:t xml:space="preserve">Muted Text: Gray‑500</w:t>
      </w:r>
    </w:p>
    <w:bookmarkEnd w:id="38"/>
    <w:bookmarkStart w:id="39" w:name="accent-color"/>
    <w:p>
      <w:pPr>
        <w:pStyle w:val="Heading3"/>
      </w:pPr>
      <w:r>
        <w:t xml:space="preserve">Accent Color</w:t>
      </w:r>
    </w:p>
    <w:p>
      <w:pPr>
        <w:pStyle w:val="Compact"/>
        <w:numPr>
          <w:ilvl w:val="0"/>
          <w:numId w:val="1011"/>
        </w:numPr>
      </w:pPr>
      <w:r>
        <w:t xml:space="preserve">Blue:</w:t>
      </w:r>
      <w:r>
        <w:t xml:space="preserve"> </w:t>
      </w:r>
      <w:r>
        <w:rPr>
          <w:rStyle w:val="VerbatimChar"/>
        </w:rPr>
        <w:t xml:space="preserve">#38BDF8</w:t>
      </w:r>
    </w:p>
    <w:bookmarkEnd w:id="39"/>
    <w:bookmarkStart w:id="40" w:name="accent-usage-rules"/>
    <w:p>
      <w:pPr>
        <w:pStyle w:val="Heading3"/>
      </w:pPr>
      <w:r>
        <w:t xml:space="preserve">Accent Usage Rules</w:t>
      </w:r>
    </w:p>
    <w:p>
      <w:pPr>
        <w:pStyle w:val="Compact"/>
        <w:numPr>
          <w:ilvl w:val="0"/>
          <w:numId w:val="1012"/>
        </w:numPr>
      </w:pPr>
      <w:r>
        <w:t xml:space="preserve">Links</w:t>
      </w:r>
    </w:p>
    <w:p>
      <w:pPr>
        <w:pStyle w:val="Compact"/>
        <w:numPr>
          <w:ilvl w:val="0"/>
          <w:numId w:val="1012"/>
        </w:numPr>
      </w:pPr>
      <w:r>
        <w:t xml:space="preserve">Emphasis</w:t>
      </w:r>
    </w:p>
    <w:p>
      <w:pPr>
        <w:pStyle w:val="Compact"/>
        <w:numPr>
          <w:ilvl w:val="0"/>
          <w:numId w:val="1012"/>
        </w:numPr>
      </w:pPr>
      <w:r>
        <w:t xml:space="preserve">Status indicators</w:t>
      </w:r>
    </w:p>
    <w:p>
      <w:pPr>
        <w:pStyle w:val="FirstParagraph"/>
      </w:pPr>
      <w:r>
        <w:t xml:space="preserve">Accent color must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dominate the UI.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hero-section-design-wisedev-reference"/>
    <w:p>
      <w:pPr>
        <w:pStyle w:val="Heading2"/>
      </w:pPr>
      <w:r>
        <w:t xml:space="preserve">7. Hero Section Design (wisedev reference)</w:t>
      </w:r>
    </w:p>
    <w:bookmarkStart w:id="42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Establish identity and freelance positioning within 5 seconds.</w:t>
      </w:r>
    </w:p>
    <w:bookmarkEnd w:id="42"/>
    <w:bookmarkStart w:id="43" w:name="structure"/>
    <w:p>
      <w:pPr>
        <w:pStyle w:val="Heading3"/>
      </w:pPr>
      <w:r>
        <w:t xml:space="preserve">Structure</w:t>
      </w:r>
    </w:p>
    <w:p>
      <w:pPr>
        <w:pStyle w:val="Compact"/>
        <w:numPr>
          <w:ilvl w:val="0"/>
          <w:numId w:val="1013"/>
        </w:numPr>
      </w:pPr>
      <w:r>
        <w:t xml:space="preserve">Full viewport height</w:t>
      </w:r>
    </w:p>
    <w:p>
      <w:pPr>
        <w:pStyle w:val="Compact"/>
        <w:numPr>
          <w:ilvl w:val="0"/>
          <w:numId w:val="1013"/>
        </w:numPr>
      </w:pPr>
      <w:r>
        <w:t xml:space="preserve">Single column</w:t>
      </w:r>
    </w:p>
    <w:p>
      <w:pPr>
        <w:pStyle w:val="Compact"/>
        <w:numPr>
          <w:ilvl w:val="0"/>
          <w:numId w:val="1013"/>
        </w:numPr>
      </w:pPr>
      <w:r>
        <w:t xml:space="preserve">Vertically centered</w:t>
      </w:r>
    </w:p>
    <w:p>
      <w:pPr>
        <w:pStyle w:val="Compact"/>
        <w:numPr>
          <w:ilvl w:val="0"/>
          <w:numId w:val="1013"/>
        </w:numPr>
      </w:pPr>
      <w:r>
        <w:t xml:space="preserve">Left‑aligned text</w:t>
      </w:r>
    </w:p>
    <w:bookmarkEnd w:id="43"/>
    <w:bookmarkStart w:id="44" w:name="content-order"/>
    <w:p>
      <w:pPr>
        <w:pStyle w:val="Heading3"/>
      </w:pPr>
      <w:r>
        <w:t xml:space="preserve">Content Order</w:t>
      </w:r>
    </w:p>
    <w:p>
      <w:pPr>
        <w:pStyle w:val="Compact"/>
        <w:numPr>
          <w:ilvl w:val="0"/>
          <w:numId w:val="1014"/>
        </w:numPr>
      </w:pPr>
      <w:r>
        <w:t xml:space="preserve">Meta line (Freelancer positioning)</w:t>
      </w:r>
    </w:p>
    <w:p>
      <w:pPr>
        <w:pStyle w:val="Compact"/>
        <w:numPr>
          <w:ilvl w:val="0"/>
          <w:numId w:val="1014"/>
        </w:numPr>
      </w:pPr>
      <w:r>
        <w:t xml:space="preserve">Headline (Identity statement)</w:t>
      </w:r>
    </w:p>
    <w:p>
      <w:pPr>
        <w:pStyle w:val="Compact"/>
        <w:numPr>
          <w:ilvl w:val="0"/>
          <w:numId w:val="1014"/>
        </w:numPr>
      </w:pPr>
      <w:r>
        <w:t xml:space="preserve">Subtext (Capability summary)</w:t>
      </w:r>
    </w:p>
    <w:p>
      <w:pPr>
        <w:pStyle w:val="Compact"/>
        <w:numPr>
          <w:ilvl w:val="0"/>
          <w:numId w:val="1014"/>
        </w:numPr>
      </w:pPr>
      <w:r>
        <w:t xml:space="preserve">Text‑based CTA</w:t>
      </w:r>
    </w:p>
    <w:bookmarkEnd w:id="44"/>
    <w:bookmarkStart w:id="45" w:name="cta-copy-rule"/>
    <w:p>
      <w:pPr>
        <w:pStyle w:val="Heading3"/>
      </w:pPr>
      <w:r>
        <w:t xml:space="preserve">CTA Copy Rule</w:t>
      </w:r>
    </w:p>
    <w:p>
      <w:pPr>
        <w:pStyle w:val="FirstParagraph"/>
      </w:pPr>
      <w:r>
        <w:t xml:space="preserve">Use business‑oriented language:</w:t>
      </w:r>
      <w:r>
        <w:t xml:space="preserve"> </w:t>
      </w:r>
      <w:r>
        <w:t xml:space="preserve">-</w:t>
      </w:r>
      <w:r>
        <w:t xml:space="preserve"> </w:t>
      </w:r>
      <w:r>
        <w:t xml:space="preserve">“Discuss a project →”</w:t>
      </w:r>
    </w:p>
    <w:bookmarkEnd w:id="45"/>
    <w:bookmarkStart w:id="46" w:name="restrictions"/>
    <w:p>
      <w:pPr>
        <w:pStyle w:val="Heading3"/>
      </w:pPr>
      <w:r>
        <w:t xml:space="preserve">Restrictions</w:t>
      </w:r>
    </w:p>
    <w:p>
      <w:pPr>
        <w:pStyle w:val="Compact"/>
        <w:numPr>
          <w:ilvl w:val="0"/>
          <w:numId w:val="1015"/>
        </w:numPr>
      </w:pPr>
      <w:r>
        <w:t xml:space="preserve">No images</w:t>
      </w:r>
    </w:p>
    <w:p>
      <w:pPr>
        <w:pStyle w:val="Compact"/>
        <w:numPr>
          <w:ilvl w:val="0"/>
          <w:numId w:val="1015"/>
        </w:numPr>
      </w:pPr>
      <w:r>
        <w:t xml:space="preserve">No icons</w:t>
      </w:r>
    </w:p>
    <w:p>
      <w:pPr>
        <w:pStyle w:val="Compact"/>
        <w:numPr>
          <w:ilvl w:val="0"/>
          <w:numId w:val="1015"/>
        </w:numPr>
      </w:pPr>
      <w:r>
        <w:t xml:space="preserve">No background effects</w:t>
      </w:r>
    </w:p>
    <w:p>
      <w:pPr>
        <w:pStyle w:val="Compact"/>
        <w:numPr>
          <w:ilvl w:val="0"/>
          <w:numId w:val="1015"/>
        </w:numPr>
      </w:pPr>
      <w:r>
        <w:t xml:space="preserve">No load animations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services-section-freelancecritical"/>
    <w:p>
      <w:pPr>
        <w:pStyle w:val="Heading2"/>
      </w:pPr>
      <w:r>
        <w:t xml:space="preserve">8. Services Section (Freelance‑Critical)</w:t>
      </w:r>
    </w:p>
    <w:bookmarkStart w:id="48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Answer:</w:t>
      </w:r>
      <w:r>
        <w:t xml:space="preserve"> </w:t>
      </w:r>
      <w:r>
        <w:rPr>
          <w:i/>
          <w:iCs/>
        </w:rPr>
        <w:t xml:space="preserve">What problems do you solve for clients?</w:t>
      </w:r>
    </w:p>
    <w:bookmarkEnd w:id="48"/>
    <w:bookmarkStart w:id="49" w:name="structure-1"/>
    <w:p>
      <w:pPr>
        <w:pStyle w:val="Heading3"/>
      </w:pPr>
      <w:r>
        <w:t xml:space="preserve">Structure</w:t>
      </w:r>
    </w:p>
    <w:p>
      <w:pPr>
        <w:pStyle w:val="Compact"/>
        <w:numPr>
          <w:ilvl w:val="0"/>
          <w:numId w:val="1016"/>
        </w:numPr>
      </w:pPr>
      <w:r>
        <w:t xml:space="preserve">Two‑column grid on desktop</w:t>
      </w:r>
    </w:p>
    <w:p>
      <w:pPr>
        <w:pStyle w:val="Compact"/>
        <w:numPr>
          <w:ilvl w:val="0"/>
          <w:numId w:val="1016"/>
        </w:numPr>
      </w:pPr>
      <w:r>
        <w:t xml:space="preserve">Text‑first layout</w:t>
      </w:r>
    </w:p>
    <w:bookmarkEnd w:id="49"/>
    <w:bookmarkStart w:id="50" w:name="each-service-includes"/>
    <w:p>
      <w:pPr>
        <w:pStyle w:val="Heading3"/>
      </w:pPr>
      <w:r>
        <w:t xml:space="preserve">Each Service Includes</w:t>
      </w:r>
    </w:p>
    <w:p>
      <w:pPr>
        <w:pStyle w:val="Compact"/>
        <w:numPr>
          <w:ilvl w:val="0"/>
          <w:numId w:val="1017"/>
        </w:numPr>
      </w:pPr>
      <w:r>
        <w:t xml:space="preserve">Service title</w:t>
      </w:r>
    </w:p>
    <w:p>
      <w:pPr>
        <w:pStyle w:val="Compact"/>
        <w:numPr>
          <w:ilvl w:val="0"/>
          <w:numId w:val="1017"/>
        </w:numPr>
      </w:pPr>
      <w:r>
        <w:t xml:space="preserve">One‑line value description</w:t>
      </w:r>
    </w:p>
    <w:p>
      <w:pPr>
        <w:pStyle w:val="Compact"/>
        <w:numPr>
          <w:ilvl w:val="0"/>
          <w:numId w:val="1017"/>
        </w:numPr>
      </w:pPr>
      <w:r>
        <w:t xml:space="preserve">2–3 bullet deliverables</w:t>
      </w:r>
    </w:p>
    <w:bookmarkEnd w:id="50"/>
    <w:bookmarkStart w:id="51" w:name="services-defined"/>
    <w:p>
      <w:pPr>
        <w:pStyle w:val="Heading3"/>
      </w:pPr>
      <w:r>
        <w:t xml:space="preserve">Services Defined</w:t>
      </w:r>
    </w:p>
    <w:p>
      <w:pPr>
        <w:pStyle w:val="Compact"/>
        <w:numPr>
          <w:ilvl w:val="0"/>
          <w:numId w:val="1018"/>
        </w:numPr>
      </w:pPr>
      <w:r>
        <w:t xml:space="preserve">Full‑Stack Web Development</w:t>
      </w:r>
    </w:p>
    <w:p>
      <w:pPr>
        <w:pStyle w:val="Compact"/>
        <w:numPr>
          <w:ilvl w:val="0"/>
          <w:numId w:val="1018"/>
        </w:numPr>
      </w:pPr>
      <w:r>
        <w:t xml:space="preserve">AI &amp; Machine Learning Solutions</w:t>
      </w:r>
    </w:p>
    <w:p>
      <w:pPr>
        <w:pStyle w:val="Compact"/>
        <w:numPr>
          <w:ilvl w:val="0"/>
          <w:numId w:val="1018"/>
        </w:numPr>
      </w:pPr>
      <w:r>
        <w:t xml:space="preserve">Cloud &amp; Deployment</w:t>
      </w:r>
    </w:p>
    <w:p>
      <w:pPr>
        <w:pStyle w:val="Compact"/>
        <w:numPr>
          <w:ilvl w:val="0"/>
          <w:numId w:val="1018"/>
        </w:numPr>
      </w:pPr>
      <w:r>
        <w:t xml:space="preserve">Technical Consulting</w:t>
      </w:r>
    </w:p>
    <w:bookmarkEnd w:id="51"/>
    <w:bookmarkStart w:id="52" w:name="restrictions-1"/>
    <w:p>
      <w:pPr>
        <w:pStyle w:val="Heading3"/>
      </w:pPr>
      <w:r>
        <w:t xml:space="preserve">Restrictions</w:t>
      </w:r>
    </w:p>
    <w:p>
      <w:pPr>
        <w:pStyle w:val="Compact"/>
        <w:numPr>
          <w:ilvl w:val="0"/>
          <w:numId w:val="1019"/>
        </w:numPr>
      </w:pPr>
      <w:r>
        <w:t xml:space="preserve">No pricing tables</w:t>
      </w:r>
    </w:p>
    <w:p>
      <w:pPr>
        <w:pStyle w:val="Compact"/>
        <w:numPr>
          <w:ilvl w:val="0"/>
          <w:numId w:val="1019"/>
        </w:numPr>
      </w:pPr>
      <w:r>
        <w:t xml:space="preserve">No timelines</w:t>
      </w:r>
    </w:p>
    <w:p>
      <w:pPr>
        <w:pStyle w:val="Compact"/>
        <w:numPr>
          <w:ilvl w:val="0"/>
          <w:numId w:val="1019"/>
        </w:numPr>
      </w:pPr>
      <w:r>
        <w:t xml:space="preserve">No icons per service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projects-section-floating-card-gallery"/>
    <w:p>
      <w:pPr>
        <w:pStyle w:val="Heading2"/>
      </w:pPr>
      <w:r>
        <w:t xml:space="preserve">9. Projects Section (Floating Card Gallery)</w:t>
      </w:r>
    </w:p>
    <w:bookmarkStart w:id="54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Demonstrate execution capability.</w:t>
      </w:r>
    </w:p>
    <w:bookmarkEnd w:id="54"/>
    <w:bookmarkStart w:id="55" w:name="layout"/>
    <w:p>
      <w:pPr>
        <w:pStyle w:val="Heading3"/>
      </w:pPr>
      <w:r>
        <w:t xml:space="preserve">Layout</w:t>
      </w:r>
    </w:p>
    <w:p>
      <w:pPr>
        <w:pStyle w:val="Compact"/>
        <w:numPr>
          <w:ilvl w:val="0"/>
          <w:numId w:val="1020"/>
        </w:numPr>
      </w:pPr>
      <w:r>
        <w:t xml:space="preserve">Vertical stack of cards</w:t>
      </w:r>
    </w:p>
    <w:p>
      <w:pPr>
        <w:pStyle w:val="Compact"/>
        <w:numPr>
          <w:ilvl w:val="0"/>
          <w:numId w:val="1020"/>
        </w:numPr>
      </w:pPr>
      <w:r>
        <w:t xml:space="preserve">Subtle vertical offset per card</w:t>
      </w:r>
    </w:p>
    <w:bookmarkEnd w:id="55"/>
    <w:bookmarkStart w:id="56" w:name="card-design"/>
    <w:p>
      <w:pPr>
        <w:pStyle w:val="Heading3"/>
      </w:pPr>
      <w:r>
        <w:t xml:space="preserve">Card Design</w:t>
      </w:r>
    </w:p>
    <w:p>
      <w:pPr>
        <w:pStyle w:val="Compact"/>
        <w:numPr>
          <w:ilvl w:val="0"/>
          <w:numId w:val="1021"/>
        </w:numPr>
      </w:pPr>
      <w:r>
        <w:t xml:space="preserve">Background slightly lighter than page</w:t>
      </w:r>
    </w:p>
    <w:p>
      <w:pPr>
        <w:pStyle w:val="Compact"/>
        <w:numPr>
          <w:ilvl w:val="0"/>
          <w:numId w:val="1021"/>
        </w:numPr>
      </w:pPr>
      <w:r>
        <w:t xml:space="preserve">Border always visible</w:t>
      </w:r>
    </w:p>
    <w:p>
      <w:pPr>
        <w:pStyle w:val="Compact"/>
        <w:numPr>
          <w:ilvl w:val="0"/>
          <w:numId w:val="1021"/>
        </w:numPr>
      </w:pPr>
      <w:r>
        <w:t xml:space="preserve">Rounded corners (xl)</w:t>
      </w:r>
    </w:p>
    <w:p>
      <w:pPr>
        <w:pStyle w:val="Compact"/>
        <w:numPr>
          <w:ilvl w:val="0"/>
          <w:numId w:val="1021"/>
        </w:numPr>
      </w:pPr>
      <w:r>
        <w:t xml:space="preserve">Generous internal spacing</w:t>
      </w:r>
    </w:p>
    <w:bookmarkEnd w:id="56"/>
    <w:bookmarkStart w:id="57" w:name="card-content"/>
    <w:p>
      <w:pPr>
        <w:pStyle w:val="Heading3"/>
      </w:pPr>
      <w:r>
        <w:t xml:space="preserve">Card Content</w:t>
      </w:r>
    </w:p>
    <w:p>
      <w:pPr>
        <w:pStyle w:val="Compact"/>
        <w:numPr>
          <w:ilvl w:val="0"/>
          <w:numId w:val="1022"/>
        </w:numPr>
      </w:pPr>
      <w:r>
        <w:t xml:space="preserve">Role + year</w:t>
      </w:r>
    </w:p>
    <w:p>
      <w:pPr>
        <w:pStyle w:val="Compact"/>
        <w:numPr>
          <w:ilvl w:val="0"/>
          <w:numId w:val="1022"/>
        </w:numPr>
      </w:pPr>
      <w:r>
        <w:t xml:space="preserve">Project title</w:t>
      </w:r>
    </w:p>
    <w:p>
      <w:pPr>
        <w:pStyle w:val="Compact"/>
        <w:numPr>
          <w:ilvl w:val="0"/>
          <w:numId w:val="1022"/>
        </w:numPr>
      </w:pPr>
      <w:r>
        <w:t xml:space="preserve">Bullet‑based description</w:t>
      </w:r>
    </w:p>
    <w:p>
      <w:pPr>
        <w:pStyle w:val="Compact"/>
        <w:numPr>
          <w:ilvl w:val="0"/>
          <w:numId w:val="1022"/>
        </w:numPr>
      </w:pPr>
      <w:r>
        <w:t xml:space="preserve">Tech stack pills</w:t>
      </w:r>
    </w:p>
    <w:p>
      <w:pPr>
        <w:pStyle w:val="Compact"/>
        <w:numPr>
          <w:ilvl w:val="0"/>
          <w:numId w:val="1022"/>
        </w:numPr>
      </w:pPr>
      <w:r>
        <w:t xml:space="preserve">Links (Code / Live)</w:t>
      </w:r>
    </w:p>
    <w:bookmarkEnd w:id="57"/>
    <w:bookmarkStart w:id="58" w:name="interaction-rules"/>
    <w:p>
      <w:pPr>
        <w:pStyle w:val="Heading3"/>
      </w:pPr>
      <w:r>
        <w:t xml:space="preserve">Interaction Rules</w:t>
      </w:r>
    </w:p>
    <w:p>
      <w:pPr>
        <w:pStyle w:val="Compact"/>
        <w:numPr>
          <w:ilvl w:val="0"/>
          <w:numId w:val="1023"/>
        </w:numPr>
      </w:pPr>
      <w:r>
        <w:t xml:space="preserve">Hover: small lift</w:t>
      </w:r>
    </w:p>
    <w:p>
      <w:pPr>
        <w:pStyle w:val="Compact"/>
        <w:numPr>
          <w:ilvl w:val="0"/>
          <w:numId w:val="1023"/>
        </w:numPr>
      </w:pPr>
      <w:r>
        <w:t xml:space="preserve">Subtle shadow</w:t>
      </w:r>
    </w:p>
    <w:p>
      <w:pPr>
        <w:pStyle w:val="Compact"/>
        <w:numPr>
          <w:ilvl w:val="0"/>
          <w:numId w:val="1023"/>
        </w:numPr>
      </w:pPr>
      <w:r>
        <w:t xml:space="preserve">Border highlight</w:t>
      </w:r>
    </w:p>
    <w:p>
      <w:pPr>
        <w:pStyle w:val="FirstParagraph"/>
      </w:pPr>
      <w:r>
        <w:t xml:space="preserve">No rotations, drag effects, or heavy motion.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skills-section-skills-showcase"/>
    <w:p>
      <w:pPr>
        <w:pStyle w:val="Heading2"/>
      </w:pPr>
      <w:r>
        <w:t xml:space="preserve">10. Skills Section (Skills Showcase)</w:t>
      </w:r>
    </w:p>
    <w:bookmarkStart w:id="60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Communicate capability breadth without exaggeration.</w:t>
      </w:r>
    </w:p>
    <w:bookmarkEnd w:id="60"/>
    <w:bookmarkStart w:id="61" w:name="structure-2"/>
    <w:p>
      <w:pPr>
        <w:pStyle w:val="Heading3"/>
      </w:pPr>
      <w:r>
        <w:t xml:space="preserve">Structure</w:t>
      </w:r>
    </w:p>
    <w:p>
      <w:pPr>
        <w:pStyle w:val="Compact"/>
        <w:numPr>
          <w:ilvl w:val="0"/>
          <w:numId w:val="1024"/>
        </w:numPr>
      </w:pPr>
      <w:r>
        <w:t xml:space="preserve">Grouped by intent</w:t>
      </w:r>
    </w:p>
    <w:p>
      <w:pPr>
        <w:pStyle w:val="Compact"/>
        <w:numPr>
          <w:ilvl w:val="0"/>
          <w:numId w:val="1024"/>
        </w:numPr>
      </w:pPr>
      <w:r>
        <w:t xml:space="preserve">Grid‑based layout</w:t>
      </w:r>
    </w:p>
    <w:bookmarkEnd w:id="61"/>
    <w:bookmarkStart w:id="62" w:name="skill-categories"/>
    <w:p>
      <w:pPr>
        <w:pStyle w:val="Heading3"/>
      </w:pPr>
      <w:r>
        <w:t xml:space="preserve">Skill Categories</w:t>
      </w:r>
    </w:p>
    <w:p>
      <w:pPr>
        <w:pStyle w:val="Compact"/>
        <w:numPr>
          <w:ilvl w:val="0"/>
          <w:numId w:val="1025"/>
        </w:numPr>
      </w:pPr>
      <w:r>
        <w:t xml:space="preserve">Languages</w:t>
      </w:r>
    </w:p>
    <w:p>
      <w:pPr>
        <w:pStyle w:val="Compact"/>
        <w:numPr>
          <w:ilvl w:val="0"/>
          <w:numId w:val="1025"/>
        </w:numPr>
      </w:pPr>
      <w:r>
        <w:t xml:space="preserve">Frontend</w:t>
      </w:r>
    </w:p>
    <w:p>
      <w:pPr>
        <w:pStyle w:val="Compact"/>
        <w:numPr>
          <w:ilvl w:val="0"/>
          <w:numId w:val="1025"/>
        </w:numPr>
      </w:pPr>
      <w:r>
        <w:t xml:space="preserve">Backend</w:t>
      </w:r>
    </w:p>
    <w:p>
      <w:pPr>
        <w:pStyle w:val="Compact"/>
        <w:numPr>
          <w:ilvl w:val="0"/>
          <w:numId w:val="1025"/>
        </w:numPr>
      </w:pPr>
      <w:r>
        <w:t xml:space="preserve">Databases</w:t>
      </w:r>
    </w:p>
    <w:p>
      <w:pPr>
        <w:pStyle w:val="Compact"/>
        <w:numPr>
          <w:ilvl w:val="0"/>
          <w:numId w:val="1025"/>
        </w:numPr>
      </w:pPr>
      <w:r>
        <w:t xml:space="preserve">AI / ML</w:t>
      </w:r>
    </w:p>
    <w:p>
      <w:pPr>
        <w:pStyle w:val="Compact"/>
        <w:numPr>
          <w:ilvl w:val="0"/>
          <w:numId w:val="1025"/>
        </w:numPr>
      </w:pPr>
      <w:r>
        <w:t xml:space="preserve">DevOps &amp; Cloud</w:t>
      </w:r>
    </w:p>
    <w:p>
      <w:pPr>
        <w:pStyle w:val="Compact"/>
        <w:numPr>
          <w:ilvl w:val="0"/>
          <w:numId w:val="1025"/>
        </w:numPr>
      </w:pPr>
      <w:r>
        <w:t xml:space="preserve">Tools &amp; Workflow</w:t>
      </w:r>
    </w:p>
    <w:bookmarkEnd w:id="62"/>
    <w:bookmarkStart w:id="63" w:name="restrictions-2"/>
    <w:p>
      <w:pPr>
        <w:pStyle w:val="Heading3"/>
      </w:pPr>
      <w:r>
        <w:t xml:space="preserve">Restrictions</w:t>
      </w:r>
    </w:p>
    <w:p>
      <w:pPr>
        <w:pStyle w:val="Compact"/>
        <w:numPr>
          <w:ilvl w:val="0"/>
          <w:numId w:val="1026"/>
        </w:numPr>
      </w:pPr>
      <w:r>
        <w:t xml:space="preserve">No skill ratings</w:t>
      </w:r>
    </w:p>
    <w:p>
      <w:pPr>
        <w:pStyle w:val="Compact"/>
        <w:numPr>
          <w:ilvl w:val="0"/>
          <w:numId w:val="1026"/>
        </w:numPr>
      </w:pPr>
      <w:r>
        <w:t xml:space="preserve">No percentages</w:t>
      </w:r>
    </w:p>
    <w:p>
      <w:pPr>
        <w:pStyle w:val="Compact"/>
        <w:numPr>
          <w:ilvl w:val="0"/>
          <w:numId w:val="1026"/>
        </w:numPr>
      </w:pPr>
      <w:r>
        <w:t xml:space="preserve">No progress bars</w:t>
      </w:r>
    </w:p>
    <w:p>
      <w:pPr>
        <w:pStyle w:val="Compact"/>
        <w:numPr>
          <w:ilvl w:val="0"/>
          <w:numId w:val="1026"/>
        </w:numPr>
      </w:pPr>
      <w:r>
        <w:t xml:space="preserve">No icons per skill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how-i-work-section-trust-builder"/>
    <w:p>
      <w:pPr>
        <w:pStyle w:val="Heading2"/>
      </w:pPr>
      <w:r>
        <w:t xml:space="preserve">11. How I Work Section (Trust Builder)</w:t>
      </w:r>
    </w:p>
    <w:bookmarkStart w:id="65" w:name="purpose-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Reduce client uncertainty and build confidence.</w:t>
      </w:r>
    </w:p>
    <w:bookmarkEnd w:id="65"/>
    <w:bookmarkStart w:id="66" w:name="structure-3"/>
    <w:p>
      <w:pPr>
        <w:pStyle w:val="Heading3"/>
      </w:pPr>
      <w:r>
        <w:t xml:space="preserve">Structure</w:t>
      </w:r>
    </w:p>
    <w:p>
      <w:pPr>
        <w:pStyle w:val="Compact"/>
        <w:numPr>
          <w:ilvl w:val="0"/>
          <w:numId w:val="1027"/>
        </w:numPr>
      </w:pPr>
      <w:r>
        <w:t xml:space="preserve">3–4 simple steps</w:t>
      </w:r>
    </w:p>
    <w:p>
      <w:pPr>
        <w:pStyle w:val="Compact"/>
        <w:numPr>
          <w:ilvl w:val="0"/>
          <w:numId w:val="1027"/>
        </w:numPr>
      </w:pPr>
      <w:r>
        <w:t xml:space="preserve">Plain text only</w:t>
      </w:r>
    </w:p>
    <w:bookmarkEnd w:id="66"/>
    <w:bookmarkStart w:id="67" w:name="steps-defined"/>
    <w:p>
      <w:pPr>
        <w:pStyle w:val="Heading3"/>
      </w:pPr>
      <w:r>
        <w:t xml:space="preserve">Steps Defined</w:t>
      </w:r>
    </w:p>
    <w:p>
      <w:pPr>
        <w:pStyle w:val="Compact"/>
        <w:numPr>
          <w:ilvl w:val="0"/>
          <w:numId w:val="1028"/>
        </w:numPr>
      </w:pPr>
      <w:r>
        <w:t xml:space="preserve">Discovery &amp; Requirements</w:t>
      </w:r>
    </w:p>
    <w:p>
      <w:pPr>
        <w:pStyle w:val="Compact"/>
        <w:numPr>
          <w:ilvl w:val="0"/>
          <w:numId w:val="1028"/>
        </w:numPr>
      </w:pPr>
      <w:r>
        <w:t xml:space="preserve">Architecture &amp; Planning</w:t>
      </w:r>
    </w:p>
    <w:p>
      <w:pPr>
        <w:pStyle w:val="Compact"/>
        <w:numPr>
          <w:ilvl w:val="0"/>
          <w:numId w:val="1028"/>
        </w:numPr>
      </w:pPr>
      <w:r>
        <w:t xml:space="preserve">Build &amp; Iterate</w:t>
      </w:r>
    </w:p>
    <w:p>
      <w:pPr>
        <w:pStyle w:val="Compact"/>
        <w:numPr>
          <w:ilvl w:val="0"/>
          <w:numId w:val="1028"/>
        </w:numPr>
      </w:pPr>
      <w:r>
        <w:t xml:space="preserve">Deploy &amp; Support</w:t>
      </w:r>
    </w:p>
    <w:p>
      <w:pPr>
        <w:pStyle w:val="FirstParagraph"/>
      </w:pPr>
      <w:r>
        <w:t xml:space="preserve">Avoid guarantees or timelines.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X1e1b9cf948f24fc162add75f2596bbf4cae9a1f"/>
    <w:p>
      <w:pPr>
        <w:pStyle w:val="Heading2"/>
      </w:pPr>
      <w:r>
        <w:t xml:space="preserve">12. Contact Section (Contact Details reference)</w:t>
      </w:r>
    </w:p>
    <w:bookmarkStart w:id="69" w:name="purpose-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Enable frictionless contact.</w:t>
      </w:r>
    </w:p>
    <w:bookmarkEnd w:id="69"/>
    <w:bookmarkStart w:id="70" w:name="layout-1"/>
    <w:p>
      <w:pPr>
        <w:pStyle w:val="Heading3"/>
      </w:pPr>
      <w:r>
        <w:t xml:space="preserve">Layout</w:t>
      </w:r>
    </w:p>
    <w:p>
      <w:pPr>
        <w:pStyle w:val="Compact"/>
        <w:numPr>
          <w:ilvl w:val="0"/>
          <w:numId w:val="1029"/>
        </w:numPr>
      </w:pPr>
      <w:r>
        <w:t xml:space="preserve">Vertical list</w:t>
      </w:r>
    </w:p>
    <w:p>
      <w:pPr>
        <w:pStyle w:val="Compact"/>
        <w:numPr>
          <w:ilvl w:val="0"/>
          <w:numId w:val="1029"/>
        </w:numPr>
      </w:pPr>
      <w:r>
        <w:t xml:space="preserve">No cards</w:t>
      </w:r>
    </w:p>
    <w:p>
      <w:pPr>
        <w:pStyle w:val="Compact"/>
        <w:numPr>
          <w:ilvl w:val="0"/>
          <w:numId w:val="1029"/>
        </w:numPr>
      </w:pPr>
      <w:r>
        <w:t xml:space="preserve">No forms</w:t>
      </w:r>
    </w:p>
    <w:bookmarkEnd w:id="70"/>
    <w:bookmarkStart w:id="71" w:name="contact-methods"/>
    <w:p>
      <w:pPr>
        <w:pStyle w:val="Heading3"/>
      </w:pPr>
      <w:r>
        <w:t xml:space="preserve">Contact Methods</w:t>
      </w:r>
    </w:p>
    <w:p>
      <w:pPr>
        <w:pStyle w:val="Compact"/>
        <w:numPr>
          <w:ilvl w:val="0"/>
          <w:numId w:val="1030"/>
        </w:numPr>
      </w:pPr>
      <w:r>
        <w:t xml:space="preserve">Email</w:t>
      </w:r>
    </w:p>
    <w:p>
      <w:pPr>
        <w:pStyle w:val="Compact"/>
        <w:numPr>
          <w:ilvl w:val="0"/>
          <w:numId w:val="1030"/>
        </w:numPr>
      </w:pPr>
      <w:r>
        <w:t xml:space="preserve">Phone</w:t>
      </w:r>
    </w:p>
    <w:p>
      <w:pPr>
        <w:pStyle w:val="Compact"/>
        <w:numPr>
          <w:ilvl w:val="0"/>
          <w:numId w:val="1030"/>
        </w:numPr>
      </w:pPr>
      <w:r>
        <w:t xml:space="preserve">GitHub</w:t>
      </w:r>
    </w:p>
    <w:p>
      <w:pPr>
        <w:pStyle w:val="Compact"/>
        <w:numPr>
          <w:ilvl w:val="0"/>
          <w:numId w:val="1030"/>
        </w:numPr>
      </w:pPr>
      <w:r>
        <w:t xml:space="preserve">LinkedIn</w:t>
      </w:r>
    </w:p>
    <w:bookmarkEnd w:id="71"/>
    <w:bookmarkStart w:id="72" w:name="interaction-rules-1"/>
    <w:p>
      <w:pPr>
        <w:pStyle w:val="Heading3"/>
      </w:pPr>
      <w:r>
        <w:t xml:space="preserve">Interaction Rules</w:t>
      </w:r>
    </w:p>
    <w:p>
      <w:pPr>
        <w:pStyle w:val="Compact"/>
        <w:numPr>
          <w:ilvl w:val="0"/>
          <w:numId w:val="1031"/>
        </w:numPr>
      </w:pPr>
      <w:r>
        <w:t xml:space="preserve">Entire row clickable</w:t>
      </w:r>
    </w:p>
    <w:p>
      <w:pPr>
        <w:pStyle w:val="Compact"/>
        <w:numPr>
          <w:ilvl w:val="0"/>
          <w:numId w:val="1031"/>
        </w:numPr>
      </w:pPr>
      <w:r>
        <w:t xml:space="preserve">Hover = color change only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motion-interaction-system"/>
    <w:p>
      <w:pPr>
        <w:pStyle w:val="Heading2"/>
      </w:pPr>
      <w:r>
        <w:t xml:space="preserve">13. Motion &amp; Interaction System</w:t>
      </w:r>
    </w:p>
    <w:bookmarkStart w:id="74" w:name="allowed"/>
    <w:p>
      <w:pPr>
        <w:pStyle w:val="Heading3"/>
      </w:pPr>
      <w:r>
        <w:t xml:space="preserve">Allowed</w:t>
      </w:r>
    </w:p>
    <w:p>
      <w:pPr>
        <w:pStyle w:val="Compact"/>
        <w:numPr>
          <w:ilvl w:val="0"/>
          <w:numId w:val="1032"/>
        </w:numPr>
      </w:pPr>
      <w:r>
        <w:t xml:space="preserve">Hover color transitions</w:t>
      </w:r>
    </w:p>
    <w:p>
      <w:pPr>
        <w:pStyle w:val="Compact"/>
        <w:numPr>
          <w:ilvl w:val="0"/>
          <w:numId w:val="1032"/>
        </w:numPr>
      </w:pPr>
      <w:r>
        <w:t xml:space="preserve">Small translate effects</w:t>
      </w:r>
    </w:p>
    <w:p>
      <w:pPr>
        <w:pStyle w:val="Compact"/>
        <w:numPr>
          <w:ilvl w:val="0"/>
          <w:numId w:val="1032"/>
        </w:numPr>
      </w:pPr>
      <w:r>
        <w:t xml:space="preserve">Subtle shadows</w:t>
      </w:r>
    </w:p>
    <w:bookmarkEnd w:id="74"/>
    <w:bookmarkStart w:id="75" w:name="forbidden"/>
    <w:p>
      <w:pPr>
        <w:pStyle w:val="Heading3"/>
      </w:pPr>
      <w:r>
        <w:t xml:space="preserve">Forbidden</w:t>
      </w:r>
    </w:p>
    <w:p>
      <w:pPr>
        <w:pStyle w:val="Compact"/>
        <w:numPr>
          <w:ilvl w:val="0"/>
          <w:numId w:val="1033"/>
        </w:numPr>
      </w:pPr>
      <w:r>
        <w:t xml:space="preserve">Page load animations</w:t>
      </w:r>
    </w:p>
    <w:p>
      <w:pPr>
        <w:pStyle w:val="Compact"/>
        <w:numPr>
          <w:ilvl w:val="0"/>
          <w:numId w:val="1033"/>
        </w:numPr>
      </w:pPr>
      <w:r>
        <w:t xml:space="preserve">Scroll hijacking</w:t>
      </w:r>
    </w:p>
    <w:p>
      <w:pPr>
        <w:pStyle w:val="Compact"/>
        <w:numPr>
          <w:ilvl w:val="0"/>
          <w:numId w:val="1033"/>
        </w:numPr>
      </w:pPr>
      <w:r>
        <w:t xml:space="preserve">Parallax</w:t>
      </w:r>
    </w:p>
    <w:p>
      <w:pPr>
        <w:pStyle w:val="Compact"/>
        <w:numPr>
          <w:ilvl w:val="0"/>
          <w:numId w:val="1033"/>
        </w:numPr>
      </w:pPr>
      <w:r>
        <w:t xml:space="preserve">Animated gradients</w:t>
      </w:r>
    </w:p>
    <w:p>
      <w:pPr>
        <w:pStyle w:val="FirstParagraph"/>
      </w:pPr>
      <w:r>
        <w:t xml:space="preserve">Motion must never interrupt reading.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accessibility-requirements"/>
    <w:p>
      <w:pPr>
        <w:pStyle w:val="Heading2"/>
      </w:pPr>
      <w:r>
        <w:t xml:space="preserve">14. Accessibility Requirements</w:t>
      </w:r>
    </w:p>
    <w:p>
      <w:pPr>
        <w:pStyle w:val="Compact"/>
        <w:numPr>
          <w:ilvl w:val="0"/>
          <w:numId w:val="1034"/>
        </w:numPr>
      </w:pPr>
      <w:r>
        <w:t xml:space="preserve">Semantic HTML</w:t>
      </w:r>
    </w:p>
    <w:p>
      <w:pPr>
        <w:pStyle w:val="Compact"/>
        <w:numPr>
          <w:ilvl w:val="0"/>
          <w:numId w:val="1034"/>
        </w:numPr>
      </w:pPr>
      <w:r>
        <w:t xml:space="preserve">Keyboard navigation</w:t>
      </w:r>
    </w:p>
    <w:p>
      <w:pPr>
        <w:pStyle w:val="Compact"/>
        <w:numPr>
          <w:ilvl w:val="0"/>
          <w:numId w:val="1034"/>
        </w:numPr>
      </w:pPr>
      <w:r>
        <w:t xml:space="preserve">Visible focus states</w:t>
      </w:r>
    </w:p>
    <w:p>
      <w:pPr>
        <w:pStyle w:val="Compact"/>
        <w:numPr>
          <w:ilvl w:val="0"/>
          <w:numId w:val="1034"/>
        </w:numPr>
      </w:pPr>
      <w:r>
        <w:t xml:space="preserve">High contrast text</w:t>
      </w:r>
    </w:p>
    <w:p>
      <w:pPr>
        <w:pStyle w:val="FirstParagraph"/>
      </w:pPr>
      <w:r>
        <w:t xml:space="preserve">Accessibility is mandatory, not optional.</w:t>
      </w:r>
    </w:p>
    <w:p>
      <w:r>
        <w:pict>
          <v:rect style="width:0;height:1.5pt" o:hralign="center" o:hrstd="t" o:hr="t"/>
        </w:pict>
      </w:r>
    </w:p>
    <w:bookmarkEnd w:id="77"/>
    <w:bookmarkStart w:id="78" w:name="freelance-positioning-rules"/>
    <w:p>
      <w:pPr>
        <w:pStyle w:val="Heading2"/>
      </w:pPr>
      <w:r>
        <w:t xml:space="preserve">15. Freelance Positioning Rules</w:t>
      </w:r>
    </w:p>
    <w:p>
      <w:pPr>
        <w:pStyle w:val="FirstParagraph"/>
      </w:pPr>
      <w:r>
        <w:t xml:space="preserve">The site must consistently communicate:</w:t>
      </w:r>
      <w:r>
        <w:t xml:space="preserve"> </w:t>
      </w:r>
      <w:r>
        <w:t xml:space="preserve">- Freelance availability</w:t>
      </w:r>
      <w:r>
        <w:t xml:space="preserve"> </w:t>
      </w:r>
      <w:r>
        <w:t xml:space="preserve">- Ownership mindset</w:t>
      </w:r>
      <w:r>
        <w:t xml:space="preserve"> </w:t>
      </w:r>
      <w:r>
        <w:t xml:space="preserve">- Production‑ready engineering</w:t>
      </w:r>
    </w:p>
    <w:p>
      <w:pPr>
        <w:pStyle w:val="BodyText"/>
      </w:pPr>
      <w:r>
        <w:t xml:space="preserve">Avoid:</w:t>
      </w:r>
      <w:r>
        <w:t xml:space="preserve"> </w:t>
      </w:r>
      <w:r>
        <w:t xml:space="preserve">-</w:t>
      </w:r>
      <w:r>
        <w:t xml:space="preserve"> </w:t>
      </w:r>
      <w:r>
        <w:t xml:space="preserve">“Student”</w:t>
      </w:r>
      <w:r>
        <w:t xml:space="preserve"> </w:t>
      </w:r>
      <w:r>
        <w:t xml:space="preserve">language</w:t>
      </w:r>
      <w:r>
        <w:t xml:space="preserve"> </w:t>
      </w:r>
      <w:r>
        <w:t xml:space="preserve">-</w:t>
      </w:r>
      <w:r>
        <w:t xml:space="preserve"> </w:t>
      </w:r>
      <w:r>
        <w:t xml:space="preserve">“Learning”</w:t>
      </w:r>
      <w:r>
        <w:t xml:space="preserve"> </w:t>
      </w:r>
      <w:r>
        <w:t xml:space="preserve">phrasing</w:t>
      </w:r>
      <w:r>
        <w:t xml:space="preserve"> </w:t>
      </w:r>
      <w:r>
        <w:t xml:space="preserve">- Hobbyist cues</w:t>
      </w:r>
    </w:p>
    <w:p>
      <w:r>
        <w:pict>
          <v:rect style="width:0;height:1.5pt" o:hralign="center" o:hrstd="t" o:hr="t"/>
        </w:pict>
      </w:r>
    </w:p>
    <w:bookmarkEnd w:id="78"/>
    <w:bookmarkStart w:id="79" w:name="design-antipatterns-strict"/>
    <w:p>
      <w:pPr>
        <w:pStyle w:val="Heading2"/>
      </w:pPr>
      <w:r>
        <w:t xml:space="preserve">16. Design Anti‑Patterns (Strict)</w:t>
      </w:r>
    </w:p>
    <w:p>
      <w:pPr>
        <w:pStyle w:val="Compact"/>
        <w:numPr>
          <w:ilvl w:val="0"/>
          <w:numId w:val="1035"/>
        </w:numPr>
      </w:pPr>
      <w:r>
        <w:t xml:space="preserve">Testimonials without proof</w:t>
      </w:r>
    </w:p>
    <w:p>
      <w:pPr>
        <w:pStyle w:val="Compact"/>
        <w:numPr>
          <w:ilvl w:val="0"/>
          <w:numId w:val="1035"/>
        </w:numPr>
      </w:pPr>
      <w:r>
        <w:t xml:space="preserve">Pricing tables</w:t>
      </w:r>
    </w:p>
    <w:p>
      <w:pPr>
        <w:pStyle w:val="Compact"/>
        <w:numPr>
          <w:ilvl w:val="0"/>
          <w:numId w:val="1035"/>
        </w:numPr>
      </w:pPr>
      <w:r>
        <w:t xml:space="preserve">Contact forms</w:t>
      </w:r>
    </w:p>
    <w:p>
      <w:pPr>
        <w:pStyle w:val="Compact"/>
        <w:numPr>
          <w:ilvl w:val="0"/>
          <w:numId w:val="1035"/>
        </w:numPr>
      </w:pPr>
      <w:r>
        <w:t xml:space="preserve">Visual gimmicks</w:t>
      </w:r>
    </w:p>
    <w:p>
      <w:pPr>
        <w:pStyle w:val="Compact"/>
        <w:numPr>
          <w:ilvl w:val="0"/>
          <w:numId w:val="1035"/>
        </w:numPr>
      </w:pPr>
      <w:r>
        <w:t xml:space="preserve">Icon overload</w:t>
      </w:r>
    </w:p>
    <w:p>
      <w:pPr>
        <w:pStyle w:val="Compact"/>
        <w:numPr>
          <w:ilvl w:val="0"/>
          <w:numId w:val="1035"/>
        </w:numPr>
      </w:pPr>
      <w:r>
        <w:t xml:space="preserve">Decorative backgrounds</w:t>
      </w:r>
    </w:p>
    <w:p>
      <w:r>
        <w:pict>
          <v:rect style="width:0;height:1.5pt" o:hralign="center" o:hrstd="t" o:hr="t"/>
        </w:pict>
      </w:r>
    </w:p>
    <w:bookmarkEnd w:id="79"/>
    <w:bookmarkStart w:id="80" w:name="final-design-statement"/>
    <w:p>
      <w:pPr>
        <w:pStyle w:val="Heading2"/>
      </w:pPr>
      <w:r>
        <w:t xml:space="preserve">17. Final Design Statement</w:t>
      </w:r>
    </w:p>
    <w:p>
      <w:pPr>
        <w:pStyle w:val="FirstParagraph"/>
      </w:pPr>
      <w:r>
        <w:t xml:space="preserve">This portfolio must feel:</w:t>
      </w:r>
      <w:r>
        <w:t xml:space="preserve"> </w:t>
      </w:r>
      <w:r>
        <w:t xml:space="preserve">- Calm</w:t>
      </w:r>
      <w:r>
        <w:t xml:space="preserve"> </w:t>
      </w:r>
      <w:r>
        <w:t xml:space="preserve">- Confident</w:t>
      </w:r>
      <w:r>
        <w:t xml:space="preserve"> </w:t>
      </w:r>
      <w:r>
        <w:t xml:space="preserve">- Professional</w:t>
      </w:r>
      <w:r>
        <w:t xml:space="preserve"> </w:t>
      </w:r>
      <w:r>
        <w:t xml:space="preserve">- Trustworthy</w:t>
      </w:r>
    </w:p>
    <w:p>
      <w:pPr>
        <w:pStyle w:val="BodyText"/>
      </w:pPr>
      <w:r>
        <w:t xml:space="preserve">If a visitor spends five minutes on this site, they should leave thinking:</w:t>
      </w:r>
    </w:p>
    <w:p>
      <w:pPr>
        <w:pStyle w:val="BlockText"/>
      </w:pPr>
      <w:r>
        <w:t xml:space="preserve">“This freelancer understands systems, process, and responsibility. I can trust them with my project.”</w:t>
      </w:r>
    </w:p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2026-01-26T12:27:13Z</dcterms:created>
  <dcterms:modified xsi:type="dcterms:W3CDTF">2026-01-26T12:27:13Z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