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4A197" w14:textId="6082D7D5" w:rsidR="00143F38" w:rsidRPr="00401989" w:rsidRDefault="00C36932" w:rsidP="001A6806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401989">
        <w:rPr>
          <w:rFonts w:ascii="Times New Roman" w:hAnsi="Times New Roman" w:cs="Times New Roman"/>
          <w:color w:val="auto"/>
        </w:rPr>
        <w:t>Assignment 2</w:t>
      </w:r>
    </w:p>
    <w:p w14:paraId="6AB0179F" w14:textId="77777777" w:rsidR="00C36932" w:rsidRPr="00401989" w:rsidRDefault="00C36932" w:rsidP="001A6806">
      <w:pPr>
        <w:jc w:val="both"/>
        <w:rPr>
          <w:rFonts w:ascii="Times New Roman" w:hAnsi="Times New Roman" w:cs="Times New Roman"/>
        </w:rPr>
      </w:pPr>
    </w:p>
    <w:p w14:paraId="2A375257" w14:textId="33C8E022" w:rsidR="00C36932" w:rsidRPr="00401989" w:rsidRDefault="00C36932" w:rsidP="001A68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01989">
        <w:rPr>
          <w:rFonts w:ascii="Times New Roman" w:hAnsi="Times New Roman" w:cs="Times New Roman"/>
        </w:rPr>
        <w:t>EDA</w:t>
      </w:r>
    </w:p>
    <w:p w14:paraId="2FBF9D6F" w14:textId="388045F5" w:rsidR="00C36932" w:rsidRPr="00401989" w:rsidRDefault="00C36932" w:rsidP="001A68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01989">
        <w:rPr>
          <w:rFonts w:ascii="Times New Roman" w:hAnsi="Times New Roman" w:cs="Times New Roman"/>
        </w:rPr>
        <w:t>Summary statistics:</w:t>
      </w:r>
    </w:p>
    <w:tbl>
      <w:tblPr>
        <w:tblStyle w:val="TableGrid"/>
        <w:tblpPr w:leftFromText="180" w:rightFromText="180" w:vertAnchor="text" w:horzAnchor="page" w:tblpX="2507" w:tblpY="113"/>
        <w:tblW w:w="9265" w:type="dxa"/>
        <w:tblLayout w:type="fixed"/>
        <w:tblLook w:val="04A0" w:firstRow="1" w:lastRow="0" w:firstColumn="1" w:lastColumn="0" w:noHBand="0" w:noVBand="1"/>
      </w:tblPr>
      <w:tblGrid>
        <w:gridCol w:w="1492"/>
        <w:gridCol w:w="801"/>
        <w:gridCol w:w="1112"/>
        <w:gridCol w:w="1112"/>
        <w:gridCol w:w="1058"/>
        <w:gridCol w:w="990"/>
        <w:gridCol w:w="900"/>
        <w:gridCol w:w="900"/>
        <w:gridCol w:w="900"/>
      </w:tblGrid>
      <w:tr w:rsidR="00C61CD3" w:rsidRPr="00401989" w14:paraId="3D790376" w14:textId="77777777" w:rsidTr="00C61CD3">
        <w:trPr>
          <w:trHeight w:val="549"/>
        </w:trPr>
        <w:tc>
          <w:tcPr>
            <w:tcW w:w="1492" w:type="dxa"/>
            <w:shd w:val="clear" w:color="auto" w:fill="DAE9F7" w:themeFill="text2" w:themeFillTint="1A"/>
          </w:tcPr>
          <w:p w14:paraId="68D69782" w14:textId="0B70327B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801" w:type="dxa"/>
            <w:shd w:val="clear" w:color="auto" w:fill="DAE9F7" w:themeFill="text2" w:themeFillTint="1A"/>
          </w:tcPr>
          <w:p w14:paraId="0B7F4D97" w14:textId="77777777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112" w:type="dxa"/>
            <w:shd w:val="clear" w:color="auto" w:fill="DAE9F7" w:themeFill="text2" w:themeFillTint="1A"/>
          </w:tcPr>
          <w:p w14:paraId="2DD05AE5" w14:textId="326F9291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12" w:type="dxa"/>
            <w:shd w:val="clear" w:color="auto" w:fill="DAE9F7" w:themeFill="text2" w:themeFillTint="1A"/>
          </w:tcPr>
          <w:p w14:paraId="2D3BD025" w14:textId="7EFAC066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  <w:tc>
          <w:tcPr>
            <w:tcW w:w="1058" w:type="dxa"/>
            <w:shd w:val="clear" w:color="auto" w:fill="DAE9F7" w:themeFill="text2" w:themeFillTint="1A"/>
          </w:tcPr>
          <w:p w14:paraId="6AACE3D2" w14:textId="37B7930A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990" w:type="dxa"/>
            <w:shd w:val="clear" w:color="auto" w:fill="DAE9F7" w:themeFill="text2" w:themeFillTint="1A"/>
          </w:tcPr>
          <w:p w14:paraId="05ACDAF7" w14:textId="00915D89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900" w:type="dxa"/>
            <w:shd w:val="clear" w:color="auto" w:fill="DAE9F7" w:themeFill="text2" w:themeFillTint="1A"/>
          </w:tcPr>
          <w:p w14:paraId="5358E9E1" w14:textId="0A850446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900" w:type="dxa"/>
            <w:shd w:val="clear" w:color="auto" w:fill="DAE9F7" w:themeFill="text2" w:themeFillTint="1A"/>
          </w:tcPr>
          <w:p w14:paraId="151146C4" w14:textId="54401F8D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900" w:type="dxa"/>
            <w:shd w:val="clear" w:color="auto" w:fill="DAE9F7" w:themeFill="text2" w:themeFillTint="1A"/>
          </w:tcPr>
          <w:p w14:paraId="52D48181" w14:textId="1F7A6246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</w:tr>
      <w:tr w:rsidR="00C61CD3" w:rsidRPr="00401989" w14:paraId="4034B4FD" w14:textId="77777777" w:rsidTr="00C61CD3">
        <w:trPr>
          <w:trHeight w:val="549"/>
        </w:trPr>
        <w:tc>
          <w:tcPr>
            <w:tcW w:w="1492" w:type="dxa"/>
          </w:tcPr>
          <w:p w14:paraId="66869849" w14:textId="12F65A6A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Mean Radius</w:t>
            </w:r>
          </w:p>
        </w:tc>
        <w:tc>
          <w:tcPr>
            <w:tcW w:w="801" w:type="dxa"/>
          </w:tcPr>
          <w:p w14:paraId="548D213A" w14:textId="1CBC7E48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112" w:type="dxa"/>
          </w:tcPr>
          <w:p w14:paraId="45409FD0" w14:textId="2C6B3691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17.4121</w:t>
            </w:r>
          </w:p>
        </w:tc>
        <w:tc>
          <w:tcPr>
            <w:tcW w:w="1112" w:type="dxa"/>
          </w:tcPr>
          <w:p w14:paraId="5B3FBE0F" w14:textId="656C94E5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3.1572</w:t>
            </w:r>
          </w:p>
        </w:tc>
        <w:tc>
          <w:tcPr>
            <w:tcW w:w="1058" w:type="dxa"/>
          </w:tcPr>
          <w:p w14:paraId="376B3AF0" w14:textId="385AFAED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10.95</w:t>
            </w:r>
          </w:p>
        </w:tc>
        <w:tc>
          <w:tcPr>
            <w:tcW w:w="990" w:type="dxa"/>
          </w:tcPr>
          <w:p w14:paraId="27C0DBD6" w14:textId="174F15DB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15.0525</w:t>
            </w:r>
          </w:p>
        </w:tc>
        <w:tc>
          <w:tcPr>
            <w:tcW w:w="900" w:type="dxa"/>
          </w:tcPr>
          <w:p w14:paraId="2CBE61A2" w14:textId="1A43B289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17.28</w:t>
            </w:r>
          </w:p>
        </w:tc>
        <w:tc>
          <w:tcPr>
            <w:tcW w:w="900" w:type="dxa"/>
          </w:tcPr>
          <w:p w14:paraId="1EB442DE" w14:textId="4CF70DF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19.58</w:t>
            </w:r>
          </w:p>
        </w:tc>
        <w:tc>
          <w:tcPr>
            <w:tcW w:w="900" w:type="dxa"/>
          </w:tcPr>
          <w:p w14:paraId="04760F46" w14:textId="18BD668D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27.22</w:t>
            </w:r>
          </w:p>
        </w:tc>
      </w:tr>
      <w:tr w:rsidR="00C61CD3" w:rsidRPr="00401989" w14:paraId="3D4B028B" w14:textId="77777777" w:rsidTr="00C61CD3">
        <w:trPr>
          <w:trHeight w:val="549"/>
        </w:trPr>
        <w:tc>
          <w:tcPr>
            <w:tcW w:w="1492" w:type="dxa"/>
          </w:tcPr>
          <w:p w14:paraId="41102F78" w14:textId="5ADDB14E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Mean Texture</w:t>
            </w:r>
          </w:p>
        </w:tc>
        <w:tc>
          <w:tcPr>
            <w:tcW w:w="801" w:type="dxa"/>
          </w:tcPr>
          <w:p w14:paraId="24F9D51A" w14:textId="2BD77845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112" w:type="dxa"/>
          </w:tcPr>
          <w:p w14:paraId="1F711D5D" w14:textId="682004E1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22.3190</w:t>
            </w:r>
          </w:p>
        </w:tc>
        <w:tc>
          <w:tcPr>
            <w:tcW w:w="1112" w:type="dxa"/>
          </w:tcPr>
          <w:p w14:paraId="5180473C" w14:textId="46851B19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4.2831</w:t>
            </w:r>
          </w:p>
        </w:tc>
        <w:tc>
          <w:tcPr>
            <w:tcW w:w="1058" w:type="dxa"/>
          </w:tcPr>
          <w:p w14:paraId="4139A974" w14:textId="30BCA8F3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10.38</w:t>
            </w:r>
          </w:p>
        </w:tc>
        <w:tc>
          <w:tcPr>
            <w:tcW w:w="990" w:type="dxa"/>
          </w:tcPr>
          <w:p w14:paraId="5C26AD1E" w14:textId="2D45CE75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19.5175</w:t>
            </w:r>
          </w:p>
        </w:tc>
        <w:tc>
          <w:tcPr>
            <w:tcW w:w="900" w:type="dxa"/>
          </w:tcPr>
          <w:p w14:paraId="52CC39E7" w14:textId="6A0E1713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21.795</w:t>
            </w:r>
          </w:p>
        </w:tc>
        <w:tc>
          <w:tcPr>
            <w:tcW w:w="900" w:type="dxa"/>
          </w:tcPr>
          <w:p w14:paraId="7FD6433B" w14:textId="39981310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24.655</w:t>
            </w:r>
          </w:p>
        </w:tc>
        <w:tc>
          <w:tcPr>
            <w:tcW w:w="900" w:type="dxa"/>
          </w:tcPr>
          <w:p w14:paraId="59DE3959" w14:textId="5CA5FB4A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39.28</w:t>
            </w:r>
          </w:p>
        </w:tc>
      </w:tr>
      <w:tr w:rsidR="00C61CD3" w:rsidRPr="00401989" w14:paraId="3CE7D824" w14:textId="77777777" w:rsidTr="00C61CD3">
        <w:trPr>
          <w:trHeight w:val="549"/>
        </w:trPr>
        <w:tc>
          <w:tcPr>
            <w:tcW w:w="1492" w:type="dxa"/>
          </w:tcPr>
          <w:p w14:paraId="01AD67F7" w14:textId="105AB404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Mean Perimeter</w:t>
            </w:r>
          </w:p>
        </w:tc>
        <w:tc>
          <w:tcPr>
            <w:tcW w:w="801" w:type="dxa"/>
          </w:tcPr>
          <w:p w14:paraId="747A1D8F" w14:textId="054E0AC5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112" w:type="dxa"/>
          </w:tcPr>
          <w:p w14:paraId="0BCCE4F3" w14:textId="7D158B8D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114.8566</w:t>
            </w:r>
          </w:p>
        </w:tc>
        <w:tc>
          <w:tcPr>
            <w:tcW w:w="1112" w:type="dxa"/>
          </w:tcPr>
          <w:p w14:paraId="4E77FB58" w14:textId="5BC2827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21.3834</w:t>
            </w:r>
          </w:p>
        </w:tc>
        <w:tc>
          <w:tcPr>
            <w:tcW w:w="1058" w:type="dxa"/>
          </w:tcPr>
          <w:p w14:paraId="6BF23A3B" w14:textId="545DBD50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71.9</w:t>
            </w:r>
          </w:p>
        </w:tc>
        <w:tc>
          <w:tcPr>
            <w:tcW w:w="990" w:type="dxa"/>
          </w:tcPr>
          <w:p w14:paraId="46B0CC6A" w14:textId="1715FE5C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98.16</w:t>
            </w:r>
          </w:p>
        </w:tc>
        <w:tc>
          <w:tcPr>
            <w:tcW w:w="900" w:type="dxa"/>
          </w:tcPr>
          <w:p w14:paraId="079ED667" w14:textId="4564B0A9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113.7</w:t>
            </w:r>
          </w:p>
        </w:tc>
        <w:tc>
          <w:tcPr>
            <w:tcW w:w="900" w:type="dxa"/>
          </w:tcPr>
          <w:p w14:paraId="7393E35D" w14:textId="42DA1CB6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129.65</w:t>
            </w:r>
          </w:p>
        </w:tc>
        <w:tc>
          <w:tcPr>
            <w:tcW w:w="900" w:type="dxa"/>
          </w:tcPr>
          <w:p w14:paraId="0B865E99" w14:textId="5281E7B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182.1</w:t>
            </w:r>
          </w:p>
        </w:tc>
      </w:tr>
      <w:tr w:rsidR="00C61CD3" w:rsidRPr="00401989" w14:paraId="2D4A7264" w14:textId="77777777" w:rsidTr="00C61CD3">
        <w:trPr>
          <w:trHeight w:val="549"/>
        </w:trPr>
        <w:tc>
          <w:tcPr>
            <w:tcW w:w="1492" w:type="dxa"/>
          </w:tcPr>
          <w:p w14:paraId="255BBEA3" w14:textId="2D436D1A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Mean Area</w:t>
            </w:r>
          </w:p>
        </w:tc>
        <w:tc>
          <w:tcPr>
            <w:tcW w:w="801" w:type="dxa"/>
          </w:tcPr>
          <w:p w14:paraId="4BAD39B9" w14:textId="0D7B6207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112" w:type="dxa"/>
          </w:tcPr>
          <w:p w14:paraId="4F8C4520" w14:textId="45337E93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970.0409</w:t>
            </w:r>
          </w:p>
        </w:tc>
        <w:tc>
          <w:tcPr>
            <w:tcW w:w="1112" w:type="dxa"/>
          </w:tcPr>
          <w:p w14:paraId="5344AB13" w14:textId="7F11CD66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352.1492</w:t>
            </w:r>
          </w:p>
        </w:tc>
        <w:tc>
          <w:tcPr>
            <w:tcW w:w="1058" w:type="dxa"/>
          </w:tcPr>
          <w:p w14:paraId="0C63D890" w14:textId="045AE628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361.6</w:t>
            </w:r>
          </w:p>
        </w:tc>
        <w:tc>
          <w:tcPr>
            <w:tcW w:w="990" w:type="dxa"/>
          </w:tcPr>
          <w:p w14:paraId="6D77CBED" w14:textId="59B52FC9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702.525</w:t>
            </w:r>
          </w:p>
        </w:tc>
        <w:tc>
          <w:tcPr>
            <w:tcW w:w="900" w:type="dxa"/>
          </w:tcPr>
          <w:p w14:paraId="27D7251B" w14:textId="1DB1728E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929.1</w:t>
            </w:r>
          </w:p>
        </w:tc>
        <w:tc>
          <w:tcPr>
            <w:tcW w:w="900" w:type="dxa"/>
          </w:tcPr>
          <w:p w14:paraId="03B746C4" w14:textId="62A43748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1193.5</w:t>
            </w:r>
          </w:p>
        </w:tc>
        <w:tc>
          <w:tcPr>
            <w:tcW w:w="900" w:type="dxa"/>
          </w:tcPr>
          <w:p w14:paraId="29228B65" w14:textId="50E9B9E5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2250.0</w:t>
            </w:r>
          </w:p>
        </w:tc>
      </w:tr>
      <w:tr w:rsidR="00C61CD3" w:rsidRPr="00401989" w14:paraId="0C786B5F" w14:textId="77777777" w:rsidTr="00C61CD3">
        <w:trPr>
          <w:trHeight w:val="542"/>
        </w:trPr>
        <w:tc>
          <w:tcPr>
            <w:tcW w:w="1492" w:type="dxa"/>
          </w:tcPr>
          <w:p w14:paraId="1C1331DC" w14:textId="17A424D7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Mean Smoothness</w:t>
            </w:r>
          </w:p>
        </w:tc>
        <w:tc>
          <w:tcPr>
            <w:tcW w:w="801" w:type="dxa"/>
          </w:tcPr>
          <w:p w14:paraId="276C7BFF" w14:textId="40F5BB5A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112" w:type="dxa"/>
          </w:tcPr>
          <w:p w14:paraId="07DDAC86" w14:textId="4C673699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0.1027</w:t>
            </w:r>
          </w:p>
        </w:tc>
        <w:tc>
          <w:tcPr>
            <w:tcW w:w="1112" w:type="dxa"/>
          </w:tcPr>
          <w:p w14:paraId="5E303DB6" w14:textId="410C2C37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0.0125</w:t>
            </w:r>
          </w:p>
        </w:tc>
        <w:tc>
          <w:tcPr>
            <w:tcW w:w="1058" w:type="dxa"/>
          </w:tcPr>
          <w:p w14:paraId="7BBC4F52" w14:textId="77CB5FA1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0.07497</w:t>
            </w:r>
          </w:p>
        </w:tc>
        <w:tc>
          <w:tcPr>
            <w:tcW w:w="990" w:type="dxa"/>
          </w:tcPr>
          <w:p w14:paraId="023C05B0" w14:textId="0CDEA9F3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0.0939</w:t>
            </w:r>
          </w:p>
        </w:tc>
        <w:tc>
          <w:tcPr>
            <w:tcW w:w="900" w:type="dxa"/>
          </w:tcPr>
          <w:p w14:paraId="53B2DF04" w14:textId="552A9675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0.1019</w:t>
            </w:r>
          </w:p>
        </w:tc>
        <w:tc>
          <w:tcPr>
            <w:tcW w:w="900" w:type="dxa"/>
          </w:tcPr>
          <w:p w14:paraId="1022917F" w14:textId="34137CA8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0.1110</w:t>
            </w:r>
          </w:p>
        </w:tc>
        <w:tc>
          <w:tcPr>
            <w:tcW w:w="900" w:type="dxa"/>
          </w:tcPr>
          <w:p w14:paraId="193474FA" w14:textId="6281F74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0.1447</w:t>
            </w:r>
          </w:p>
        </w:tc>
      </w:tr>
      <w:tr w:rsidR="00C61CD3" w:rsidRPr="00401989" w14:paraId="7C37A1F6" w14:textId="77777777" w:rsidTr="00C61CD3">
        <w:trPr>
          <w:trHeight w:val="549"/>
        </w:trPr>
        <w:tc>
          <w:tcPr>
            <w:tcW w:w="1492" w:type="dxa"/>
          </w:tcPr>
          <w:p w14:paraId="02BBD91B" w14:textId="33CD05B7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Mean Compactness</w:t>
            </w:r>
          </w:p>
        </w:tc>
        <w:tc>
          <w:tcPr>
            <w:tcW w:w="801" w:type="dxa"/>
          </w:tcPr>
          <w:p w14:paraId="7B84A01F" w14:textId="37A2ECA2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112" w:type="dxa"/>
          </w:tcPr>
          <w:p w14:paraId="29FFB1C3" w14:textId="04888F9E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0.1426</w:t>
            </w:r>
          </w:p>
        </w:tc>
        <w:tc>
          <w:tcPr>
            <w:tcW w:w="1112" w:type="dxa"/>
          </w:tcPr>
          <w:p w14:paraId="515350FE" w14:textId="6D76AF2E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0.0499</w:t>
            </w:r>
          </w:p>
        </w:tc>
        <w:tc>
          <w:tcPr>
            <w:tcW w:w="1058" w:type="dxa"/>
          </w:tcPr>
          <w:p w14:paraId="0457013C" w14:textId="02E2F27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0.04605</w:t>
            </w:r>
          </w:p>
        </w:tc>
        <w:tc>
          <w:tcPr>
            <w:tcW w:w="990" w:type="dxa"/>
          </w:tcPr>
          <w:p w14:paraId="18D70FEC" w14:textId="0ADCC2FD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0.1102</w:t>
            </w:r>
          </w:p>
        </w:tc>
        <w:tc>
          <w:tcPr>
            <w:tcW w:w="900" w:type="dxa"/>
          </w:tcPr>
          <w:p w14:paraId="0D8AA242" w14:textId="52311776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0.1318</w:t>
            </w:r>
          </w:p>
        </w:tc>
        <w:tc>
          <w:tcPr>
            <w:tcW w:w="900" w:type="dxa"/>
          </w:tcPr>
          <w:p w14:paraId="1A7F896F" w14:textId="405DE282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0.1722</w:t>
            </w:r>
          </w:p>
        </w:tc>
        <w:tc>
          <w:tcPr>
            <w:tcW w:w="900" w:type="dxa"/>
          </w:tcPr>
          <w:p w14:paraId="29C8176E" w14:textId="394D58BD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0.3114</w:t>
            </w:r>
          </w:p>
        </w:tc>
      </w:tr>
      <w:tr w:rsidR="00C61CD3" w:rsidRPr="00401989" w14:paraId="2A63FB5E" w14:textId="77777777" w:rsidTr="00C61CD3">
        <w:trPr>
          <w:trHeight w:val="549"/>
        </w:trPr>
        <w:tc>
          <w:tcPr>
            <w:tcW w:w="1492" w:type="dxa"/>
          </w:tcPr>
          <w:p w14:paraId="7D4D53BF" w14:textId="52AE726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Mean Concavity</w:t>
            </w:r>
          </w:p>
        </w:tc>
        <w:tc>
          <w:tcPr>
            <w:tcW w:w="801" w:type="dxa"/>
          </w:tcPr>
          <w:p w14:paraId="1A92D07B" w14:textId="190AA2A8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112" w:type="dxa"/>
          </w:tcPr>
          <w:p w14:paraId="0D54CF89" w14:textId="78BC9765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0.1562</w:t>
            </w:r>
          </w:p>
        </w:tc>
        <w:tc>
          <w:tcPr>
            <w:tcW w:w="1112" w:type="dxa"/>
          </w:tcPr>
          <w:p w14:paraId="09AA6DE0" w14:textId="509C9BF9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0.0706</w:t>
            </w:r>
          </w:p>
        </w:tc>
        <w:tc>
          <w:tcPr>
            <w:tcW w:w="1058" w:type="dxa"/>
          </w:tcPr>
          <w:p w14:paraId="6A45D934" w14:textId="23188C2E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0.02398</w:t>
            </w:r>
          </w:p>
        </w:tc>
        <w:tc>
          <w:tcPr>
            <w:tcW w:w="990" w:type="dxa"/>
          </w:tcPr>
          <w:p w14:paraId="14AA8DE3" w14:textId="7FC689B0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0.10685</w:t>
            </w:r>
          </w:p>
        </w:tc>
        <w:tc>
          <w:tcPr>
            <w:tcW w:w="900" w:type="dxa"/>
          </w:tcPr>
          <w:p w14:paraId="6E1209D0" w14:textId="7E9D21FD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0.1513</w:t>
            </w:r>
          </w:p>
        </w:tc>
        <w:tc>
          <w:tcPr>
            <w:tcW w:w="900" w:type="dxa"/>
          </w:tcPr>
          <w:p w14:paraId="450F7449" w14:textId="6D2DED41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0.2005</w:t>
            </w:r>
          </w:p>
        </w:tc>
        <w:tc>
          <w:tcPr>
            <w:tcW w:w="900" w:type="dxa"/>
          </w:tcPr>
          <w:p w14:paraId="7CECFAF1" w14:textId="15F3CAAE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0.4268</w:t>
            </w:r>
          </w:p>
        </w:tc>
      </w:tr>
      <w:tr w:rsidR="00C61CD3" w:rsidRPr="00401989" w14:paraId="54C8FC0D" w14:textId="77777777" w:rsidTr="00C61CD3">
        <w:trPr>
          <w:trHeight w:val="476"/>
        </w:trPr>
        <w:tc>
          <w:tcPr>
            <w:tcW w:w="1492" w:type="dxa"/>
          </w:tcPr>
          <w:p w14:paraId="58AF1CE3" w14:textId="2A43618E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Mean Concave Points</w:t>
            </w:r>
          </w:p>
        </w:tc>
        <w:tc>
          <w:tcPr>
            <w:tcW w:w="801" w:type="dxa"/>
          </w:tcPr>
          <w:p w14:paraId="50F42534" w14:textId="53F8CCC0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112" w:type="dxa"/>
          </w:tcPr>
          <w:p w14:paraId="41441594" w14:textId="7B0C3C47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0.0868</w:t>
            </w:r>
          </w:p>
        </w:tc>
        <w:tc>
          <w:tcPr>
            <w:tcW w:w="1112" w:type="dxa"/>
          </w:tcPr>
          <w:p w14:paraId="6BFCB8DD" w14:textId="5E2D1805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0.0339</w:t>
            </w:r>
          </w:p>
        </w:tc>
        <w:tc>
          <w:tcPr>
            <w:tcW w:w="1058" w:type="dxa"/>
          </w:tcPr>
          <w:p w14:paraId="594CD7EA" w14:textId="02FF601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0.02031</w:t>
            </w:r>
          </w:p>
        </w:tc>
        <w:tc>
          <w:tcPr>
            <w:tcW w:w="990" w:type="dxa"/>
          </w:tcPr>
          <w:p w14:paraId="74041FEB" w14:textId="1A1732B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0.06367</w:t>
            </w:r>
          </w:p>
        </w:tc>
        <w:tc>
          <w:tcPr>
            <w:tcW w:w="900" w:type="dxa"/>
          </w:tcPr>
          <w:p w14:paraId="5D497A7F" w14:textId="070286A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0.0861</w:t>
            </w:r>
          </w:p>
        </w:tc>
        <w:tc>
          <w:tcPr>
            <w:tcW w:w="900" w:type="dxa"/>
          </w:tcPr>
          <w:p w14:paraId="66ED4B5A" w14:textId="06F5A206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0.1039</w:t>
            </w:r>
          </w:p>
        </w:tc>
        <w:tc>
          <w:tcPr>
            <w:tcW w:w="900" w:type="dxa"/>
          </w:tcPr>
          <w:p w14:paraId="3870A725" w14:textId="1855675F" w:rsidR="00C61CD3" w:rsidRPr="00401989" w:rsidRDefault="00C61CD3" w:rsidP="001A6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989">
              <w:rPr>
                <w:rFonts w:ascii="Times New Roman" w:hAnsi="Times New Roman" w:cs="Times New Roman"/>
                <w:sz w:val="20"/>
                <w:szCs w:val="20"/>
              </w:rPr>
              <w:t>0.2012</w:t>
            </w:r>
          </w:p>
        </w:tc>
      </w:tr>
    </w:tbl>
    <w:p w14:paraId="63831E23" w14:textId="77777777" w:rsidR="00C36932" w:rsidRPr="00401989" w:rsidRDefault="00C36932" w:rsidP="001A6806">
      <w:pPr>
        <w:ind w:left="1080"/>
        <w:jc w:val="both"/>
        <w:rPr>
          <w:rFonts w:ascii="Times New Roman" w:hAnsi="Times New Roman" w:cs="Times New Roman"/>
        </w:rPr>
      </w:pPr>
    </w:p>
    <w:p w14:paraId="36F558A7" w14:textId="77777777" w:rsidR="0052610D" w:rsidRPr="0052610D" w:rsidRDefault="0052610D" w:rsidP="001A68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610D">
        <w:rPr>
          <w:rFonts w:ascii="Times New Roman" w:hAnsi="Times New Roman" w:cs="Times New Roman"/>
        </w:rPr>
        <w:t>total rows = 198</w:t>
      </w:r>
    </w:p>
    <w:p w14:paraId="7D56C0C0" w14:textId="77777777" w:rsidR="0052610D" w:rsidRPr="0052610D" w:rsidRDefault="0052610D" w:rsidP="001A680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52610D">
        <w:rPr>
          <w:rFonts w:ascii="Times New Roman" w:hAnsi="Times New Roman" w:cs="Times New Roman"/>
        </w:rPr>
        <w:t>unique values = ['N' 'R']</w:t>
      </w:r>
    </w:p>
    <w:p w14:paraId="042D8DE6" w14:textId="77777777" w:rsidR="0052610D" w:rsidRPr="0052610D" w:rsidRDefault="0052610D" w:rsidP="001A680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52610D">
        <w:rPr>
          <w:rFonts w:ascii="Times New Roman" w:hAnsi="Times New Roman" w:cs="Times New Roman"/>
        </w:rPr>
        <w:t>top value = N</w:t>
      </w:r>
    </w:p>
    <w:p w14:paraId="48ECC8F7" w14:textId="3771A01B" w:rsidR="0052610D" w:rsidRDefault="0052610D" w:rsidP="005C2ACE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52610D">
        <w:rPr>
          <w:rFonts w:ascii="Times New Roman" w:hAnsi="Times New Roman" w:cs="Times New Roman"/>
        </w:rPr>
        <w:t>top value frequency = 151</w:t>
      </w:r>
    </w:p>
    <w:p w14:paraId="3A4209A5" w14:textId="77777777" w:rsidR="005C2ACE" w:rsidRPr="00401989" w:rsidRDefault="005C2ACE" w:rsidP="005C2ACE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E76A576" w14:textId="7EB336DA" w:rsidR="0052610D" w:rsidRDefault="00401989" w:rsidP="001A68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can encode the categorical variable ‘outcome’ to numerical data type. As the column only has two unique values and we are performing binary classification using logistic regression, I am going to use ‘</w:t>
      </w:r>
      <w:r w:rsidRPr="00401989">
        <w:rPr>
          <w:rFonts w:ascii="Times New Roman" w:hAnsi="Times New Roman" w:cs="Times New Roman"/>
          <w:i/>
          <w:iCs/>
        </w:rPr>
        <w:t>label encoding</w:t>
      </w:r>
      <w:r>
        <w:rPr>
          <w:rFonts w:ascii="Times New Roman" w:hAnsi="Times New Roman" w:cs="Times New Roman"/>
        </w:rPr>
        <w:t xml:space="preserve">. </w:t>
      </w:r>
      <w:r w:rsidR="00C65CC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complex classification we can also use OHE (One-hot Encoding).</w:t>
      </w:r>
    </w:p>
    <w:p w14:paraId="6BB1B813" w14:textId="77777777" w:rsidR="00401989" w:rsidRPr="00401989" w:rsidRDefault="00401989" w:rsidP="001A680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BF25C22" w14:textId="2AB24B74" w:rsidR="00401989" w:rsidRDefault="000F2773" w:rsidP="001A680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Yes, there are multiple redundant features in the dataset. Those are the features that have high correlation or same data. For example, in the given dataset, mean_radius and mean_perimeter have correlation of 1. There are also other features which have high correlation. </w:t>
      </w:r>
      <w:r w:rsidR="00075874">
        <w:rPr>
          <w:rFonts w:ascii="Times New Roman" w:eastAsia="Times New Roman" w:hAnsi="Times New Roman" w:cs="Times New Roman"/>
          <w:kern w:val="0"/>
          <w14:ligatures w14:val="none"/>
        </w:rPr>
        <w:t>Since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features having high correlation doesn’t affect the out</w:t>
      </w:r>
      <w:r w:rsidR="0062530A">
        <w:rPr>
          <w:rFonts w:ascii="Times New Roman" w:eastAsia="Times New Roman" w:hAnsi="Times New Roman" w:cs="Times New Roman"/>
          <w:kern w:val="0"/>
          <w14:ligatures w14:val="none"/>
        </w:rPr>
        <w:t xml:space="preserve">come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of the data, removing one of the features having high correlation with </w:t>
      </w:r>
      <w:r w:rsidR="0062530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other </w:t>
      </w:r>
      <w:r w:rsidR="005C2ACE">
        <w:rPr>
          <w:rFonts w:ascii="Times New Roman" w:eastAsia="Times New Roman" w:hAnsi="Times New Roman" w:cs="Times New Roman"/>
          <w:kern w:val="0"/>
          <w14:ligatures w14:val="none"/>
        </w:rPr>
        <w:t>won’t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impact the analysis.</w:t>
      </w:r>
    </w:p>
    <w:p w14:paraId="2FB1B9F6" w14:textId="77777777" w:rsidR="000F2773" w:rsidRPr="000F2773" w:rsidRDefault="000F2773" w:rsidP="001A6806">
      <w:pPr>
        <w:pStyle w:val="ListParagraph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76695" w14:textId="77777777" w:rsidR="001A6806" w:rsidRDefault="00075874" w:rsidP="001A680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One interesting observation is that there are different variables that have correlation of 1 even though the data is different. There are also many</w:t>
      </w:r>
      <w:r w:rsidR="001A6806">
        <w:rPr>
          <w:rFonts w:ascii="Times New Roman" w:eastAsia="Times New Roman" w:hAnsi="Times New Roman" w:cs="Times New Roman"/>
          <w:kern w:val="0"/>
          <w14:ligatures w14:val="none"/>
        </w:rPr>
        <w:t xml:space="preserve"> variables with high correlations suggesting many redundant features in the data. </w:t>
      </w:r>
    </w:p>
    <w:p w14:paraId="6D4C02F7" w14:textId="77777777" w:rsidR="001A6806" w:rsidRDefault="001A6806" w:rsidP="001A680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C8BAC5" w14:textId="603DA1B6" w:rsidR="000F2773" w:rsidRDefault="001A6806" w:rsidP="001A680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Another interesting observation is that based on the statistics computed among </w:t>
      </w:r>
      <w:r w:rsidR="005C2ACE">
        <w:rPr>
          <w:rFonts w:ascii="Times New Roman" w:eastAsia="Times New Roman" w:hAnsi="Times New Roman" w:cs="Times New Roman"/>
          <w:kern w:val="0"/>
          <w14:ligatures w14:val="none"/>
        </w:rPr>
        <w:t>the given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variables, </w:t>
      </w:r>
      <w:r w:rsidRPr="001A6806">
        <w:rPr>
          <w:rFonts w:ascii="Times New Roman" w:eastAsia="Times New Roman" w:hAnsi="Times New Roman" w:cs="Times New Roman"/>
          <w:kern w:val="0"/>
          <w14:ligatures w14:val="none"/>
        </w:rPr>
        <w:t>mean_radius, mean_texture, mean_perimeter, mean_area, mean_smoothness, mean_compactness, mean_concavity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1A6806">
        <w:rPr>
          <w:rFonts w:ascii="Times New Roman" w:eastAsia="Times New Roman" w:hAnsi="Times New Roman" w:cs="Times New Roman"/>
          <w:kern w:val="0"/>
          <w14:ligatures w14:val="none"/>
        </w:rPr>
        <w:t xml:space="preserve"> and mean_concave_points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median </w:t>
      </w:r>
      <w:r w:rsidR="00F95CFF"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close to the mean but slightly less in all the </w:t>
      </w:r>
      <w:r w:rsidR="005C2ACE">
        <w:rPr>
          <w:rFonts w:ascii="Times New Roman" w:eastAsia="Times New Roman" w:hAnsi="Times New Roman" w:cs="Times New Roman"/>
          <w:kern w:val="0"/>
          <w14:ligatures w14:val="none"/>
        </w:rPr>
        <w:t>variables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suggesting slight right skewness.</w:t>
      </w:r>
    </w:p>
    <w:p w14:paraId="2BBE81D7" w14:textId="14B35692" w:rsidR="00401989" w:rsidRPr="00401989" w:rsidRDefault="00401989" w:rsidP="001A6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81E466" w14:textId="426BD8A2" w:rsidR="007D4F1F" w:rsidRDefault="00401989" w:rsidP="002042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C2ACE">
        <w:rPr>
          <w:rFonts w:ascii="Times New Roman" w:eastAsia="Times New Roman" w:hAnsi="Times New Roman" w:cs="Times New Roman"/>
          <w:kern w:val="0"/>
          <w14:ligatures w14:val="none"/>
        </w:rPr>
        <w:t>correlation between ‘mean_perimeter’ and ‘se_perimeter’ = 0.6099643781634989</w:t>
      </w:r>
    </w:p>
    <w:p w14:paraId="6851C6EB" w14:textId="77777777" w:rsidR="005C2ACE" w:rsidRDefault="005C2ACE" w:rsidP="005C2ACE">
      <w:pPr>
        <w:jc w:val="both"/>
        <w:rPr>
          <w:rFonts w:ascii="Times New Roman" w:hAnsi="Times New Roman" w:cs="Times New Roman"/>
        </w:rPr>
      </w:pPr>
    </w:p>
    <w:p w14:paraId="7A60E461" w14:textId="0E92DE11" w:rsidR="005C2ACE" w:rsidRPr="005C2ACE" w:rsidRDefault="005C2ACE" w:rsidP="005C2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sectPr w:rsidR="005C2ACE" w:rsidRPr="005C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9590D"/>
    <w:multiLevelType w:val="hybridMultilevel"/>
    <w:tmpl w:val="067E83DE"/>
    <w:lvl w:ilvl="0" w:tplc="C89EF6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35A92"/>
    <w:multiLevelType w:val="hybridMultilevel"/>
    <w:tmpl w:val="5BF4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57692"/>
    <w:multiLevelType w:val="hybridMultilevel"/>
    <w:tmpl w:val="93D6233C"/>
    <w:lvl w:ilvl="0" w:tplc="31944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3685373">
    <w:abstractNumId w:val="1"/>
  </w:num>
  <w:num w:numId="2" w16cid:durableId="675032637">
    <w:abstractNumId w:val="2"/>
  </w:num>
  <w:num w:numId="3" w16cid:durableId="164122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40"/>
    <w:rsid w:val="00075874"/>
    <w:rsid w:val="000F2773"/>
    <w:rsid w:val="00143F38"/>
    <w:rsid w:val="001A6806"/>
    <w:rsid w:val="003B0C57"/>
    <w:rsid w:val="00401989"/>
    <w:rsid w:val="0052610D"/>
    <w:rsid w:val="005C2ACE"/>
    <w:rsid w:val="0062530A"/>
    <w:rsid w:val="00631B6A"/>
    <w:rsid w:val="00670F40"/>
    <w:rsid w:val="007D4F1F"/>
    <w:rsid w:val="00AD4BE4"/>
    <w:rsid w:val="00C36932"/>
    <w:rsid w:val="00C61CD3"/>
    <w:rsid w:val="00C65CCB"/>
    <w:rsid w:val="00D6319E"/>
    <w:rsid w:val="00E14C33"/>
    <w:rsid w:val="00F9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E821"/>
  <w15:chartTrackingRefBased/>
  <w15:docId w15:val="{B717C43B-E882-4B5C-B0AF-BEF346EE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F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8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Subedi, Adarsha</dc:creator>
  <cp:keywords/>
  <dc:description/>
  <cp:lastModifiedBy>Subedi, Adarsha</cp:lastModifiedBy>
  <cp:revision>9</cp:revision>
  <dcterms:created xsi:type="dcterms:W3CDTF">2025-03-22T22:08:00Z</dcterms:created>
  <dcterms:modified xsi:type="dcterms:W3CDTF">2025-03-26T00:43:00Z</dcterms:modified>
</cp:coreProperties>
</file>