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color w:val="1F4E79"/>
          <w:sz w:val="44"/>
          <w:szCs w:val="44"/>
        </w:rPr>
        <w:t xml:space="preserve">AI Job Market Analytics Dashboard</w:t>
      </w:r>
    </w:p>
    <w:p>
      <w:pPr>
        <w:pStyle w:val="Heading1"/>
        <w:pBdr>
          <w:bottom w:val="single" w:color="2E74B5" w:sz="6" w:space="4"/>
        </w:pBdr>
        <w:spacing w:after="160" w:before="320"/>
      </w:pPr>
      <w:r>
        <w:rPr>
          <w:rFonts w:ascii="Calibri" w:cs="Calibri" w:eastAsia="Calibri" w:hAnsi="Calibri"/>
          <w:b/>
          <w:bCs/>
          <w:color w:val="1F4E79"/>
          <w:sz w:val="30"/>
          <w:szCs w:val="30"/>
        </w:rPr>
        <w:t xml:space="preserve">Executive Summary</w:t>
      </w:r>
    </w:p>
    <w:p>
      <w:pPr>
        <w:spacing w:after="160" w:line="276"/>
      </w:pPr>
      <w:r>
        <w:rPr>
          <w:rFonts w:ascii="Calibri" w:cs="Calibri" w:eastAsia="Calibri" w:hAnsi="Calibri"/>
          <w:color w:val="262626"/>
          <w:sz w:val="22"/>
          <w:szCs w:val="22"/>
        </w:rPr>
        <w:t xml:space="preserve">This project presents an end-to-end Business Intelligence analysis of the global AI job market, built entirely in Microsoft Power BI. The dashboard analyzes 10,000 real-world AI job postings to surface hiring trends, salary benchmarks, in-demand skills, and company hiring patterns across countries, experience levels, and work modes. The report demonstrates the complete BI workflow — from raw data import to a polished, interactive, three-page dashboard suite suitable for business decision-making.</w:t>
      </w:r>
    </w:p>
    <w:p>
      <w:pPr>
        <w:pStyle w:val="Heading1"/>
        <w:pBdr>
          <w:bottom w:val="single" w:color="2E74B5" w:sz="6" w:space="4"/>
        </w:pBdr>
        <w:spacing w:after="160" w:before="320"/>
      </w:pPr>
      <w:r>
        <w:rPr>
          <w:rFonts w:ascii="Calibri" w:cs="Calibri" w:eastAsia="Calibri" w:hAnsi="Calibri"/>
          <w:b/>
          <w:bCs/>
          <w:color w:val="1F4E79"/>
          <w:sz w:val="30"/>
          <w:szCs w:val="30"/>
        </w:rPr>
        <w:t xml:space="preserve">Business Problem</w:t>
      </w:r>
    </w:p>
    <w:p>
      <w:pPr>
        <w:spacing w:after="160" w:line="276"/>
      </w:pPr>
      <w:r>
        <w:rPr>
          <w:rFonts w:ascii="Calibri" w:cs="Calibri" w:eastAsia="Calibri" w:hAnsi="Calibri"/>
          <w:color w:val="262626"/>
          <w:sz w:val="22"/>
          <w:szCs w:val="22"/>
        </w:rPr>
        <w:t xml:space="preserve">Organizations and job seekers alike lack a clear, consolidated view of how the AI job market is evolving. Key questions this project addresses include: which countries and companies are hiring most aggressively for AI roles, how salaries vary by experience and geography, and which technical skills are most in demand. Without this visibility, both employers and candidates struggle to benchmark compensation and prioritize the right skills.</w:t>
      </w:r>
    </w:p>
    <w:p>
      <w:pPr>
        <w:pStyle w:val="Heading1"/>
        <w:pBdr>
          <w:bottom w:val="single" w:color="2E74B5" w:sz="6" w:space="4"/>
        </w:pBdr>
        <w:spacing w:after="160" w:before="320"/>
      </w:pPr>
      <w:r>
        <w:rPr>
          <w:rFonts w:ascii="Calibri" w:cs="Calibri" w:eastAsia="Calibri" w:hAnsi="Calibri"/>
          <w:b/>
          <w:bCs/>
          <w:color w:val="1F4E79"/>
          <w:sz w:val="30"/>
          <w:szCs w:val="30"/>
        </w:rPr>
        <w:t xml:space="preserve">Objectives</w:t>
      </w:r>
    </w:p>
    <w:p>
      <w:pPr>
        <w:pStyle w:val="ListParagraph"/>
        <w:numPr>
          <w:ilvl w:val="0"/>
          <w:numId w:val="2"/>
        </w:numPr>
        <w:spacing w:after="80"/>
      </w:pPr>
      <w:r>
        <w:rPr>
          <w:rFonts w:ascii="Calibri" w:cs="Calibri" w:eastAsia="Calibri" w:hAnsi="Calibri"/>
          <w:color w:val="262626"/>
          <w:sz w:val="22"/>
          <w:szCs w:val="22"/>
        </w:rPr>
        <w:t xml:space="preserve">Analyze global hiring trends across countries, companies, and industries</w:t>
      </w:r>
    </w:p>
    <w:p>
      <w:pPr>
        <w:pStyle w:val="ListParagraph"/>
        <w:numPr>
          <w:ilvl w:val="0"/>
          <w:numId w:val="2"/>
        </w:numPr>
        <w:spacing w:after="80"/>
      </w:pPr>
      <w:r>
        <w:rPr>
          <w:rFonts w:ascii="Calibri" w:cs="Calibri" w:eastAsia="Calibri" w:hAnsi="Calibri"/>
          <w:color w:val="262626"/>
          <w:sz w:val="22"/>
          <w:szCs w:val="22"/>
        </w:rPr>
        <w:t xml:space="preserve">Benchmark salary ranges by experience level and company size</w:t>
      </w:r>
    </w:p>
    <w:p>
      <w:pPr>
        <w:pStyle w:val="ListParagraph"/>
        <w:numPr>
          <w:ilvl w:val="0"/>
          <w:numId w:val="2"/>
        </w:numPr>
        <w:spacing w:after="80"/>
      </w:pPr>
      <w:r>
        <w:rPr>
          <w:rFonts w:ascii="Calibri" w:cs="Calibri" w:eastAsia="Calibri" w:hAnsi="Calibri"/>
          <w:color w:val="262626"/>
          <w:sz w:val="22"/>
          <w:szCs w:val="22"/>
        </w:rPr>
        <w:t xml:space="preserve">Identify the most in-demand AI technologies and skills</w:t>
      </w:r>
    </w:p>
    <w:p>
      <w:pPr>
        <w:pStyle w:val="ListParagraph"/>
        <w:numPr>
          <w:ilvl w:val="0"/>
          <w:numId w:val="2"/>
        </w:numPr>
        <w:spacing w:after="80"/>
      </w:pPr>
      <w:r>
        <w:rPr>
          <w:rFonts w:ascii="Calibri" w:cs="Calibri" w:eastAsia="Calibri" w:hAnsi="Calibri"/>
          <w:color w:val="262626"/>
          <w:sz w:val="22"/>
          <w:szCs w:val="22"/>
        </w:rPr>
        <w:t xml:space="preserve">Build an interactive, filterable Power BI dashboard suite for stakeholders</w:t>
      </w:r>
    </w:p>
    <w:p>
      <w:pPr>
        <w:pStyle w:val="Heading1"/>
        <w:pBdr>
          <w:bottom w:val="single" w:color="2E74B5" w:sz="6" w:space="4"/>
        </w:pBdr>
        <w:spacing w:after="160" w:before="320"/>
      </w:pPr>
      <w:r>
        <w:rPr>
          <w:rFonts w:ascii="Calibri" w:cs="Calibri" w:eastAsia="Calibri" w:hAnsi="Calibri"/>
          <w:b/>
          <w:bCs/>
          <w:color w:val="1F4E79"/>
          <w:sz w:val="30"/>
          <w:szCs w:val="30"/>
        </w:rPr>
        <w:t xml:space="preserve">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color="auto" w:val="clear"/>
          </w:tcPr>
          <w:p>
            <w:r>
              <w:rPr>
                <w:rFonts w:ascii="Calibri" w:cs="Calibri" w:eastAsia="Calibri" w:hAnsi="Calibri"/>
                <w:b/>
                <w:bCs/>
                <w:color w:val="FFFFFF"/>
                <w:sz w:val="22"/>
                <w:szCs w:val="22"/>
              </w:rPr>
              <w:t xml:space="preserve">Property</w:t>
            </w:r>
          </w:p>
        </w:tc>
        <w:tc>
          <w:tcPr>
            <w:tcW w:type="dxa" w:w="4675"/>
            <w:shd w:fill="1F4E79" w:color="auto" w:val="clear"/>
          </w:tcPr>
          <w:p>
            <w:r>
              <w:rPr>
                <w:rFonts w:ascii="Calibri" w:cs="Calibri" w:eastAsia="Calibri" w:hAnsi="Calibri"/>
                <w:b/>
                <w:bCs/>
                <w:color w:val="FFFFFF"/>
                <w:sz w:val="22"/>
                <w:szCs w:val="22"/>
              </w:rPr>
              <w:t xml:space="preserve">Details</w:t>
            </w:r>
          </w:p>
        </w:tc>
      </w:tr>
      <w:tr>
        <w:tc>
          <w:tcPr>
            <w:tcW w:type="dxa" w:w="4675"/>
          </w:tcPr>
          <w:p>
            <w:r>
              <w:rPr>
                <w:rFonts w:ascii="Calibri" w:cs="Calibri" w:eastAsia="Calibri" w:hAnsi="Calibri"/>
                <w:b w:val="false"/>
                <w:bCs w:val="false"/>
                <w:color w:val="262626"/>
                <w:sz w:val="22"/>
                <w:szCs w:val="22"/>
              </w:rPr>
              <w:t xml:space="preserve">Rows</w:t>
            </w:r>
          </w:p>
        </w:tc>
        <w:tc>
          <w:tcPr>
            <w:tcW w:type="dxa" w:w="4675"/>
          </w:tcPr>
          <w:p>
            <w:r>
              <w:rPr>
                <w:rFonts w:ascii="Calibri" w:cs="Calibri" w:eastAsia="Calibri" w:hAnsi="Calibri"/>
                <w:b w:val="false"/>
                <w:bCs w:val="false"/>
                <w:color w:val="262626"/>
                <w:sz w:val="22"/>
                <w:szCs w:val="22"/>
              </w:rPr>
              <w:t xml:space="preserve">10,000 job postings</w:t>
            </w:r>
          </w:p>
        </w:tc>
      </w:tr>
      <w:tr>
        <w:tc>
          <w:tcPr>
            <w:tcW w:type="dxa" w:w="4675"/>
          </w:tcPr>
          <w:p>
            <w:r>
              <w:rPr>
                <w:rFonts w:ascii="Calibri" w:cs="Calibri" w:eastAsia="Calibri" w:hAnsi="Calibri"/>
                <w:b w:val="false"/>
                <w:bCs w:val="false"/>
                <w:color w:val="262626"/>
                <w:sz w:val="22"/>
                <w:szCs w:val="22"/>
              </w:rPr>
              <w:t xml:space="preserve">Columns</w:t>
            </w:r>
          </w:p>
        </w:tc>
        <w:tc>
          <w:tcPr>
            <w:tcW w:type="dxa" w:w="4675"/>
          </w:tcPr>
          <w:p>
            <w:r>
              <w:rPr>
                <w:rFonts w:ascii="Calibri" w:cs="Calibri" w:eastAsia="Calibri" w:hAnsi="Calibri"/>
                <w:b w:val="false"/>
                <w:bCs w:val="false"/>
                <w:color w:val="262626"/>
                <w:sz w:val="22"/>
                <w:szCs w:val="22"/>
              </w:rPr>
              <w:t xml:space="preserve">25 attributes</w:t>
            </w:r>
          </w:p>
        </w:tc>
      </w:tr>
      <w:tr>
        <w:tc>
          <w:tcPr>
            <w:tcW w:type="dxa" w:w="4675"/>
          </w:tcPr>
          <w:p>
            <w:r>
              <w:rPr>
                <w:rFonts w:ascii="Calibri" w:cs="Calibri" w:eastAsia="Calibri" w:hAnsi="Calibri"/>
                <w:b w:val="false"/>
                <w:bCs w:val="false"/>
                <w:color w:val="262626"/>
                <w:sz w:val="22"/>
                <w:szCs w:val="22"/>
              </w:rPr>
              <w:t xml:space="preserve">Salary Unit</w:t>
            </w:r>
          </w:p>
        </w:tc>
        <w:tc>
          <w:tcPr>
            <w:tcW w:type="dxa" w:w="4675"/>
          </w:tcPr>
          <w:p>
            <w:r>
              <w:rPr>
                <w:rFonts w:ascii="Calibri" w:cs="Calibri" w:eastAsia="Calibri" w:hAnsi="Calibri"/>
                <w:b w:val="false"/>
                <w:bCs w:val="false"/>
                <w:color w:val="262626"/>
                <w:sz w:val="22"/>
                <w:szCs w:val="22"/>
              </w:rPr>
              <w:t xml:space="preserve">LPA (Lakhs Per Annum)</w:t>
            </w:r>
          </w:p>
        </w:tc>
      </w:tr>
      <w:tr>
        <w:tc>
          <w:tcPr>
            <w:tcW w:type="dxa" w:w="4675"/>
          </w:tcPr>
          <w:p>
            <w:r>
              <w:rPr>
                <w:rFonts w:ascii="Calibri" w:cs="Calibri" w:eastAsia="Calibri" w:hAnsi="Calibri"/>
                <w:b w:val="false"/>
                <w:bCs w:val="false"/>
                <w:color w:val="262626"/>
                <w:sz w:val="22"/>
                <w:szCs w:val="22"/>
              </w:rPr>
              <w:t xml:space="preserve">Format</w:t>
            </w:r>
          </w:p>
        </w:tc>
        <w:tc>
          <w:tcPr>
            <w:tcW w:type="dxa" w:w="4675"/>
          </w:tcPr>
          <w:p>
            <w:r>
              <w:rPr>
                <w:rFonts w:ascii="Calibri" w:cs="Calibri" w:eastAsia="Calibri" w:hAnsi="Calibri"/>
                <w:b w:val="false"/>
                <w:bCs w:val="false"/>
                <w:color w:val="262626"/>
                <w:sz w:val="22"/>
                <w:szCs w:val="22"/>
              </w:rPr>
              <w:t xml:space="preserve">Excel (.xlsx)</w:t>
            </w:r>
          </w:p>
        </w:tc>
      </w:tr>
    </w:tbl>
    <w:p>
      <w:pPr>
        <w:pStyle w:val="Heading1"/>
        <w:pBdr>
          <w:bottom w:val="single" w:color="2E74B5" w:sz="6" w:space="4"/>
        </w:pBdr>
        <w:spacing w:after="160" w:before="320"/>
      </w:pPr>
      <w:r>
        <w:rPr>
          <w:rFonts w:ascii="Calibri" w:cs="Calibri" w:eastAsia="Calibri" w:hAnsi="Calibri"/>
          <w:b/>
          <w:bCs/>
          <w:color w:val="1F4E79"/>
          <w:sz w:val="30"/>
          <w:szCs w:val="30"/>
        </w:rPr>
        <w:t xml:space="preserve">Data Preparation</w:t>
      </w:r>
    </w:p>
    <w:p>
      <w:pPr>
        <w:spacing w:after="160" w:line="276"/>
      </w:pPr>
      <w:r>
        <w:rPr>
          <w:rFonts w:ascii="Calibri" w:cs="Calibri" w:eastAsia="Calibri" w:hAnsi="Calibri"/>
          <w:color w:val="262626"/>
          <w:sz w:val="22"/>
          <w:szCs w:val="22"/>
        </w:rPr>
        <w:t xml:space="preserve">Raw data was imported from Excel and cleaned and transformed using Power Query — handling missing values, standardizing categorical fields (country, work mode, experience level), and reshaping the data for analysis. The cleaned data was then modeled in Power BI, with DAX measures built for salary averages, application totals, and skill-demand metrics.</w:t>
      </w:r>
    </w:p>
    <w:p>
      <w:pPr>
        <w:pStyle w:val="Heading1"/>
        <w:pBdr>
          <w:bottom w:val="single" w:color="2E74B5" w:sz="6" w:space="4"/>
        </w:pBdr>
        <w:spacing w:after="160" w:before="320"/>
      </w:pPr>
      <w:r>
        <w:rPr>
          <w:rFonts w:ascii="Calibri" w:cs="Calibri" w:eastAsia="Calibri" w:hAnsi="Calibri"/>
          <w:b/>
          <w:bCs/>
          <w:color w:val="1F4E79"/>
          <w:sz w:val="30"/>
          <w:szCs w:val="30"/>
        </w:rPr>
        <w:t xml:space="preserve">Dashboard Design</w:t>
      </w:r>
    </w:p>
    <w:p>
      <w:pPr>
        <w:pStyle w:val="Heading2"/>
        <w:spacing w:after="120" w:before="240"/>
      </w:pPr>
      <w:r>
        <w:rPr>
          <w:rFonts w:ascii="Calibri" w:cs="Calibri" w:eastAsia="Calibri" w:hAnsi="Calibri"/>
          <w:b/>
          <w:bCs/>
          <w:color w:val="2E74B5"/>
          <w:sz w:val="24"/>
          <w:szCs w:val="24"/>
        </w:rPr>
        <w:t xml:space="preserve">Dashboard 1 — AI Job Market Analytics</w:t>
      </w:r>
    </w:p>
    <w:p>
      <w:pPr>
        <w:spacing w:after="160" w:line="276"/>
      </w:pPr>
      <w:r>
        <w:rPr>
          <w:rFonts w:ascii="Calibri" w:cs="Calibri" w:eastAsia="Calibri" w:hAnsi="Calibri"/>
          <w:color w:val="262626"/>
          <w:sz w:val="22"/>
          <w:szCs w:val="22"/>
        </w:rPr>
        <w:t xml:space="preserve">A high-level overview featuring KPI cards for total jobs, total companies, average minimum/maximum salary, and total applications, alongside country-level job distribution and top hiring companies. Filterable by country, work mode, and job type.</w:t>
      </w:r>
    </w:p>
    <w:p>
      <w:pPr>
        <w:pStyle w:val="Heading2"/>
        <w:spacing w:after="120" w:before="240"/>
      </w:pPr>
      <w:r>
        <w:rPr>
          <w:rFonts w:ascii="Calibri" w:cs="Calibri" w:eastAsia="Calibri" w:hAnsi="Calibri"/>
          <w:b/>
          <w:bCs/>
          <w:color w:val="2E74B5"/>
          <w:sz w:val="24"/>
          <w:szCs w:val="24"/>
        </w:rPr>
        <w:t xml:space="preserve">Dashboard 2 — Salary Analytics</w:t>
      </w:r>
    </w:p>
    <w:p>
      <w:pPr>
        <w:spacing w:after="160" w:line="276"/>
      </w:pPr>
      <w:r>
        <w:rPr>
          <w:rFonts w:ascii="Calibri" w:cs="Calibri" w:eastAsia="Calibri" w:hAnsi="Calibri"/>
          <w:color w:val="262626"/>
          <w:sz w:val="22"/>
          <w:szCs w:val="22"/>
        </w:rPr>
        <w:t xml:space="preserve">A deep dive into compensation, comparing average salaries across countries, experience levels, and company sizes. Filterable by country, experience level, and company size.</w:t>
      </w:r>
    </w:p>
    <w:p>
      <w:pPr>
        <w:pStyle w:val="Heading2"/>
        <w:spacing w:after="120" w:before="240"/>
      </w:pPr>
      <w:r>
        <w:rPr>
          <w:rFonts w:ascii="Calibri" w:cs="Calibri" w:eastAsia="Calibri" w:hAnsi="Calibri"/>
          <w:b/>
          <w:bCs/>
          <w:color w:val="2E74B5"/>
          <w:sz w:val="24"/>
          <w:szCs w:val="24"/>
        </w:rPr>
        <w:t xml:space="preserve">Dashboard 3 — Skills Analytics</w:t>
      </w:r>
    </w:p>
    <w:p>
      <w:pPr>
        <w:spacing w:after="160" w:line="276"/>
      </w:pPr>
      <w:r>
        <w:rPr>
          <w:rFonts w:ascii="Calibri" w:cs="Calibri" w:eastAsia="Calibri" w:hAnsi="Calibri"/>
          <w:color w:val="262626"/>
          <w:sz w:val="22"/>
          <w:szCs w:val="22"/>
        </w:rPr>
        <w:t xml:space="preserve">Highlights the top AI technologies and skills in demand, average skills required by experience level, and job distribution by work mode. Filterable by country, experience level, industry, and company size.</w:t>
      </w:r>
    </w:p>
    <w:p>
      <w:pPr>
        <w:pStyle w:val="Heading1"/>
        <w:pBdr>
          <w:bottom w:val="single" w:color="2E74B5" w:sz="6" w:space="4"/>
        </w:pBdr>
        <w:spacing w:after="160" w:before="320"/>
      </w:pPr>
      <w:r>
        <w:rPr>
          <w:rFonts w:ascii="Calibri" w:cs="Calibri" w:eastAsia="Calibri" w:hAnsi="Calibri"/>
          <w:b/>
          <w:bCs/>
          <w:color w:val="1F4E79"/>
          <w:sz w:val="30"/>
          <w:szCs w:val="30"/>
        </w:rPr>
        <w:t xml:space="preserve">Key Performance Indicators</w:t>
      </w:r>
    </w:p>
    <w:p>
      <w:pPr>
        <w:pStyle w:val="ListParagraph"/>
        <w:numPr>
          <w:ilvl w:val="0"/>
          <w:numId w:val="2"/>
        </w:numPr>
        <w:spacing w:after="80"/>
      </w:pPr>
      <w:r>
        <w:rPr>
          <w:rFonts w:ascii="Calibri" w:cs="Calibri" w:eastAsia="Calibri" w:hAnsi="Calibri"/>
          <w:color w:val="262626"/>
          <w:sz w:val="22"/>
          <w:szCs w:val="22"/>
        </w:rPr>
        <w:t xml:space="preserve">Total Jobs &amp; Total Companies</w:t>
      </w:r>
    </w:p>
    <w:p>
      <w:pPr>
        <w:pStyle w:val="ListParagraph"/>
        <w:numPr>
          <w:ilvl w:val="0"/>
          <w:numId w:val="2"/>
        </w:numPr>
        <w:spacing w:after="80"/>
      </w:pPr>
      <w:r>
        <w:rPr>
          <w:rFonts w:ascii="Calibri" w:cs="Calibri" w:eastAsia="Calibri" w:hAnsi="Calibri"/>
          <w:color w:val="262626"/>
          <w:sz w:val="22"/>
          <w:szCs w:val="22"/>
        </w:rPr>
        <w:t xml:space="preserve">Average Minimum / Maximum Salary (LPA)</w:t>
      </w:r>
    </w:p>
    <w:p>
      <w:pPr>
        <w:pStyle w:val="ListParagraph"/>
        <w:numPr>
          <w:ilvl w:val="0"/>
          <w:numId w:val="2"/>
        </w:numPr>
        <w:spacing w:after="80"/>
      </w:pPr>
      <w:r>
        <w:rPr>
          <w:rFonts w:ascii="Calibri" w:cs="Calibri" w:eastAsia="Calibri" w:hAnsi="Calibri"/>
          <w:color w:val="262626"/>
          <w:sz w:val="22"/>
          <w:szCs w:val="22"/>
        </w:rPr>
        <w:t xml:space="preserve">Total Applications</w:t>
      </w:r>
    </w:p>
    <w:p>
      <w:pPr>
        <w:pStyle w:val="ListParagraph"/>
        <w:numPr>
          <w:ilvl w:val="0"/>
          <w:numId w:val="2"/>
        </w:numPr>
        <w:spacing w:after="80"/>
      </w:pPr>
      <w:r>
        <w:rPr>
          <w:rFonts w:ascii="Calibri" w:cs="Calibri" w:eastAsia="Calibri" w:hAnsi="Calibri"/>
          <w:color w:val="262626"/>
          <w:sz w:val="22"/>
          <w:szCs w:val="22"/>
        </w:rPr>
        <w:t xml:space="preserve">Average Company Rating</w:t>
      </w:r>
    </w:p>
    <w:p>
      <w:pPr>
        <w:pStyle w:val="ListParagraph"/>
        <w:numPr>
          <w:ilvl w:val="0"/>
          <w:numId w:val="2"/>
        </w:numPr>
        <w:spacing w:after="80"/>
      </w:pPr>
      <w:r>
        <w:rPr>
          <w:rFonts w:ascii="Calibri" w:cs="Calibri" w:eastAsia="Calibri" w:hAnsi="Calibri"/>
          <w:color w:val="262626"/>
          <w:sz w:val="22"/>
          <w:szCs w:val="22"/>
        </w:rPr>
        <w:t xml:space="preserve">Average Skills Required per Role</w:t>
      </w:r>
    </w:p>
    <w:p>
      <w:pPr>
        <w:pStyle w:val="Heading1"/>
        <w:pBdr>
          <w:bottom w:val="single" w:color="2E74B5" w:sz="6" w:space="4"/>
        </w:pBdr>
        <w:spacing w:after="160" w:before="320"/>
      </w:pPr>
      <w:r>
        <w:rPr>
          <w:rFonts w:ascii="Calibri" w:cs="Calibri" w:eastAsia="Calibri" w:hAnsi="Calibri"/>
          <w:b/>
          <w:bCs/>
          <w:color w:val="1F4E79"/>
          <w:sz w:val="30"/>
          <w:szCs w:val="30"/>
        </w:rPr>
        <w:t xml:space="preserve">Business Insights</w:t>
      </w:r>
    </w:p>
    <w:p>
      <w:pPr>
        <w:pStyle w:val="ListParagraph"/>
        <w:numPr>
          <w:ilvl w:val="0"/>
          <w:numId w:val="2"/>
        </w:numPr>
        <w:spacing w:after="80"/>
      </w:pPr>
      <w:r>
        <w:rPr>
          <w:rFonts w:ascii="Calibri" w:cs="Calibri" w:eastAsia="Calibri" w:hAnsi="Calibri"/>
          <w:color w:val="262626"/>
          <w:sz w:val="22"/>
          <w:szCs w:val="22"/>
        </w:rPr>
        <w:t xml:space="preserve">Salaries scale consistently with experience level — senior roles command significantly higher compensation than entry-level positions</w:t>
      </w:r>
    </w:p>
    <w:p>
      <w:pPr>
        <w:pStyle w:val="ListParagraph"/>
        <w:numPr>
          <w:ilvl w:val="0"/>
          <w:numId w:val="2"/>
        </w:numPr>
        <w:spacing w:after="80"/>
      </w:pPr>
      <w:r>
        <w:rPr>
          <w:rFonts w:ascii="Calibri" w:cs="Calibri" w:eastAsia="Calibri" w:hAnsi="Calibri"/>
          <w:color w:val="262626"/>
          <w:sz w:val="22"/>
          <w:szCs w:val="22"/>
        </w:rPr>
        <w:t xml:space="preserve">Enterprise-size companies account for a disproportionate share of AI hiring volume compared to small and mid-size firms</w:t>
      </w:r>
    </w:p>
    <w:p>
      <w:pPr>
        <w:pStyle w:val="ListParagraph"/>
        <w:numPr>
          <w:ilvl w:val="0"/>
          <w:numId w:val="2"/>
        </w:numPr>
        <w:spacing w:after="80"/>
      </w:pPr>
      <w:r>
        <w:rPr>
          <w:rFonts w:ascii="Calibri" w:cs="Calibri" w:eastAsia="Calibri" w:hAnsi="Calibri"/>
          <w:color w:val="262626"/>
          <w:sz w:val="22"/>
          <w:szCs w:val="22"/>
        </w:rPr>
        <w:t xml:space="preserve">Python, SQL, and Power BI are the three most frequently requested skills across job postings</w:t>
      </w:r>
    </w:p>
    <w:p>
      <w:pPr>
        <w:pStyle w:val="ListParagraph"/>
        <w:numPr>
          <w:ilvl w:val="0"/>
          <w:numId w:val="2"/>
        </w:numPr>
        <w:spacing w:after="80"/>
      </w:pPr>
      <w:r>
        <w:rPr>
          <w:rFonts w:ascii="Calibri" w:cs="Calibri" w:eastAsia="Calibri" w:hAnsi="Calibri"/>
          <w:color w:val="262626"/>
          <w:sz w:val="22"/>
          <w:szCs w:val="22"/>
        </w:rPr>
        <w:t xml:space="preserve">Hybrid and remote work modes make up a substantial share of AI job listings, reflecting the sector's flexibility</w:t>
      </w:r>
    </w:p>
    <w:p>
      <w:pPr>
        <w:pStyle w:val="Heading1"/>
        <w:pBdr>
          <w:bottom w:val="single" w:color="2E74B5" w:sz="6" w:space="4"/>
        </w:pBdr>
        <w:spacing w:after="160" w:before="320"/>
      </w:pPr>
      <w:r>
        <w:rPr>
          <w:rFonts w:ascii="Calibri" w:cs="Calibri" w:eastAsia="Calibri" w:hAnsi="Calibri"/>
          <w:b/>
          <w:bCs/>
          <w:color w:val="1F4E79"/>
          <w:sz w:val="30"/>
          <w:szCs w:val="30"/>
        </w:rPr>
        <w:t xml:space="preserve">Recommendations</w:t>
      </w:r>
    </w:p>
    <w:p>
      <w:pPr>
        <w:pStyle w:val="ListParagraph"/>
        <w:numPr>
          <w:ilvl w:val="0"/>
          <w:numId w:val="2"/>
        </w:numPr>
        <w:spacing w:after="80"/>
      </w:pPr>
      <w:r>
        <w:rPr>
          <w:rFonts w:ascii="Calibri" w:cs="Calibri" w:eastAsia="Calibri" w:hAnsi="Calibri"/>
          <w:color w:val="262626"/>
          <w:sz w:val="22"/>
          <w:szCs w:val="22"/>
        </w:rPr>
        <w:t xml:space="preserve">Job seekers should prioritize Python, SQL, and Power BI/BI tooling to align with the highest-demand skills</w:t>
      </w:r>
    </w:p>
    <w:p>
      <w:pPr>
        <w:pStyle w:val="ListParagraph"/>
        <w:numPr>
          <w:ilvl w:val="0"/>
          <w:numId w:val="2"/>
        </w:numPr>
        <w:spacing w:after="80"/>
      </w:pPr>
      <w:r>
        <w:rPr>
          <w:rFonts w:ascii="Calibri" w:cs="Calibri" w:eastAsia="Calibri" w:hAnsi="Calibri"/>
          <w:color w:val="262626"/>
          <w:sz w:val="22"/>
          <w:szCs w:val="22"/>
        </w:rPr>
        <w:t xml:space="preserve">Use experience-level salary benchmarks from this dashboard to negotiate compensation more effectively</w:t>
      </w:r>
    </w:p>
    <w:p>
      <w:pPr>
        <w:pStyle w:val="ListParagraph"/>
        <w:numPr>
          <w:ilvl w:val="0"/>
          <w:numId w:val="2"/>
        </w:numPr>
        <w:spacing w:after="80"/>
      </w:pPr>
      <w:r>
        <w:rPr>
          <w:rFonts w:ascii="Calibri" w:cs="Calibri" w:eastAsia="Calibri" w:hAnsi="Calibri"/>
          <w:color w:val="262626"/>
          <w:sz w:val="22"/>
          <w:szCs w:val="22"/>
        </w:rPr>
        <w:t xml:space="preserve">Employers should monitor enterprise hiring trends to stay competitive on compensation and benefits</w:t>
      </w:r>
    </w:p>
    <w:p>
      <w:pPr>
        <w:pStyle w:val="ListParagraph"/>
        <w:numPr>
          <w:ilvl w:val="0"/>
          <w:numId w:val="2"/>
        </w:numPr>
        <w:spacing w:after="80"/>
      </w:pPr>
      <w:r>
        <w:rPr>
          <w:rFonts w:ascii="Calibri" w:cs="Calibri" w:eastAsia="Calibri" w:hAnsi="Calibri"/>
          <w:color w:val="262626"/>
          <w:sz w:val="22"/>
          <w:szCs w:val="22"/>
        </w:rPr>
        <w:t xml:space="preserve">Track skill-demand shifts quarterly to keep learning priorities aligned with market needs</w:t>
      </w:r>
    </w:p>
    <w:p>
      <w:pPr>
        <w:pStyle w:val="Heading1"/>
        <w:pBdr>
          <w:bottom w:val="single" w:color="2E74B5" w:sz="6" w:space="4"/>
        </w:pBdr>
        <w:spacing w:after="160" w:before="320"/>
      </w:pPr>
      <w:r>
        <w:rPr>
          <w:rFonts w:ascii="Calibri" w:cs="Calibri" w:eastAsia="Calibri" w:hAnsi="Calibri"/>
          <w:b/>
          <w:bCs/>
          <w:color w:val="1F4E79"/>
          <w:sz w:val="30"/>
          <w:szCs w:val="30"/>
        </w:rPr>
        <w:t xml:space="preserve">Challenges</w:t>
      </w:r>
    </w:p>
    <w:p>
      <w:pPr>
        <w:spacing w:after="160" w:line="276"/>
      </w:pPr>
      <w:r>
        <w:rPr>
          <w:rFonts w:ascii="Calibri" w:cs="Calibri" w:eastAsia="Calibri" w:hAnsi="Calibri"/>
          <w:color w:val="262626"/>
          <w:sz w:val="22"/>
          <w:szCs w:val="22"/>
        </w:rPr>
        <w:t xml:space="preserve">A key technical challenge was scaling the dataset from an initial 200-row sample to the full 10,000-row dataset while preserving schema consistency and relationships across all fields — ensuring that every DAX measure and visual continued to calculate correctly at full scale.</w:t>
      </w:r>
    </w:p>
    <w:p>
      <w:pPr>
        <w:pStyle w:val="Heading1"/>
        <w:pBdr>
          <w:bottom w:val="single" w:color="2E74B5" w:sz="6" w:space="4"/>
        </w:pBdr>
        <w:spacing w:after="160" w:before="320"/>
      </w:pPr>
      <w:r>
        <w:rPr>
          <w:rFonts w:ascii="Calibri" w:cs="Calibri" w:eastAsia="Calibri" w:hAnsi="Calibri"/>
          <w:b/>
          <w:bCs/>
          <w:color w:val="1F4E79"/>
          <w:sz w:val="30"/>
          <w:szCs w:val="30"/>
        </w:rPr>
        <w:t xml:space="preserve">Future Scope</w:t>
      </w:r>
    </w:p>
    <w:p>
      <w:pPr>
        <w:pStyle w:val="ListParagraph"/>
        <w:numPr>
          <w:ilvl w:val="0"/>
          <w:numId w:val="2"/>
        </w:numPr>
        <w:spacing w:after="80"/>
      </w:pPr>
      <w:r>
        <w:rPr>
          <w:rFonts w:ascii="Calibri" w:cs="Calibri" w:eastAsia="Calibri" w:hAnsi="Calibri"/>
          <w:color w:val="262626"/>
          <w:sz w:val="22"/>
          <w:szCs w:val="22"/>
        </w:rPr>
        <w:t xml:space="preserve">Publish the report to Power BI Service for live sharing and scheduled data refresh</w:t>
      </w:r>
    </w:p>
    <w:p>
      <w:pPr>
        <w:pStyle w:val="ListParagraph"/>
        <w:numPr>
          <w:ilvl w:val="0"/>
          <w:numId w:val="2"/>
        </w:numPr>
        <w:spacing w:after="80"/>
      </w:pPr>
      <w:r>
        <w:rPr>
          <w:rFonts w:ascii="Calibri" w:cs="Calibri" w:eastAsia="Calibri" w:hAnsi="Calibri"/>
          <w:color w:val="262626"/>
          <w:sz w:val="22"/>
          <w:szCs w:val="22"/>
        </w:rPr>
        <w:t xml:space="preserve">Integrate real-time job posting APIs to keep the dashboard continuously updated</w:t>
      </w:r>
    </w:p>
    <w:p>
      <w:pPr>
        <w:pStyle w:val="ListParagraph"/>
        <w:numPr>
          <w:ilvl w:val="0"/>
          <w:numId w:val="2"/>
        </w:numPr>
        <w:spacing w:after="80"/>
      </w:pPr>
      <w:r>
        <w:rPr>
          <w:rFonts w:ascii="Calibri" w:cs="Calibri" w:eastAsia="Calibri" w:hAnsi="Calibri"/>
          <w:color w:val="262626"/>
          <w:sz w:val="22"/>
          <w:szCs w:val="22"/>
        </w:rPr>
        <w:t xml:space="preserve">Add predictive forecasting for salary trends and hiring demand using Power BI's AI visuals</w:t>
      </w:r>
    </w:p>
    <w:p>
      <w:pPr>
        <w:pStyle w:val="Heading1"/>
        <w:pBdr>
          <w:bottom w:val="single" w:color="2E74B5" w:sz="6" w:space="4"/>
        </w:pBdr>
        <w:spacing w:after="160" w:before="320"/>
      </w:pPr>
      <w:r>
        <w:rPr>
          <w:rFonts w:ascii="Calibri" w:cs="Calibri" w:eastAsia="Calibri" w:hAnsi="Calibri"/>
          <w:b/>
          <w:bCs/>
          <w:color w:val="1F4E79"/>
          <w:sz w:val="30"/>
          <w:szCs w:val="30"/>
        </w:rPr>
        <w:t xml:space="preserve">Skills Demonstrated</w:t>
      </w:r>
    </w:p>
    <w:p>
      <w:pPr>
        <w:spacing w:after="160" w:line="276"/>
      </w:pPr>
      <w:r>
        <w:rPr>
          <w:rFonts w:ascii="Calibri" w:cs="Calibri" w:eastAsia="Calibri" w:hAnsi="Calibri"/>
          <w:color w:val="262626"/>
          <w:sz w:val="22"/>
          <w:szCs w:val="22"/>
        </w:rPr>
        <w:t xml:space="preserve">Power BI · DAX · Power Query · Microsoft Excel · Data Cleaning · Data Modeling · Dashboard Design · Data Visualization · Business Intelligence · Interactive Reporting</w:t>
      </w:r>
    </w:p>
    <w:p>
      <w:pPr>
        <w:pStyle w:val="Heading1"/>
        <w:pBdr>
          <w:bottom w:val="single" w:color="2E74B5" w:sz="6" w:space="4"/>
        </w:pBdr>
        <w:spacing w:after="160" w:before="320"/>
      </w:pPr>
      <w:r>
        <w:rPr>
          <w:rFonts w:ascii="Calibri" w:cs="Calibri" w:eastAsia="Calibri" w:hAnsi="Calibri"/>
          <w:b/>
          <w:bCs/>
          <w:color w:val="1F4E79"/>
          <w:sz w:val="30"/>
          <w:szCs w:val="30"/>
        </w:rPr>
        <w:t xml:space="preserve">Conclusion</w:t>
      </w:r>
    </w:p>
    <w:p>
      <w:pPr>
        <w:spacing w:after="160" w:line="276"/>
      </w:pPr>
      <w:r>
        <w:rPr>
          <w:rFonts w:ascii="Calibri" w:cs="Calibri" w:eastAsia="Calibri" w:hAnsi="Calibri"/>
          <w:color w:val="262626"/>
          <w:sz w:val="22"/>
          <w:szCs w:val="22"/>
        </w:rPr>
        <w:t xml:space="preserve">The AI Job Market Analytics Dashboard is a complete, portfolio-ready Business Intelligence project that demonstrates the full analytics lifecycle — from raw data to actionable, decision-ready insight. It reflects practical proficiency in Power BI, DAX, and Power Query, and offers a clear, data-driven view of how the global AI job market is evolving.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2026-07-13T11:35:47.455Z</dcterms:created>
  <dcterms:modified xsi:type="dcterms:W3CDTF">2026-07-13T11:35:47.476Z</dcterms:modified>
</cp:coreProperties>
</file>

<file path=docProps/custom.xml><?xml version="1.0" encoding="utf-8"?>
<Properties xmlns="http://schemas.openxmlformats.org/officeDocument/2006/custom-properties" xmlns:vt="http://schemas.openxmlformats.org/officeDocument/2006/docPropsVTypes"/>
</file>