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840" w:after="120" w:line="240"/>
        <w:ind w:right="0" w:left="0" w:firstLine="0"/>
        <w:jc w:val="right"/>
        <w:rPr>
          <w:rFonts w:ascii="Eras Demi ITC" w:hAnsi="Eras Demi ITC" w:cs="Eras Demi ITC" w:eastAsia="Eras Demi ITC"/>
          <w:color w:val="323E4F"/>
          <w:spacing w:val="0"/>
          <w:position w:val="0"/>
          <w:sz w:val="76"/>
          <w:shd w:fill="auto" w:val="clear"/>
        </w:rPr>
      </w:pPr>
      <w:r>
        <w:object w:dxaOrig="5122" w:dyaOrig="2125">
          <v:rect xmlns:o="urn:schemas-microsoft-com:office:office" xmlns:v="urn:schemas-microsoft-com:vml" id="rectole0000000000" style="width:256.100000pt;height:106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Eras Demi ITC" w:hAnsi="Eras Demi ITC" w:cs="Eras Demi ITC" w:eastAsia="Eras Demi ITC"/>
          <w:color w:val="323E4F"/>
          <w:spacing w:val="0"/>
          <w:position w:val="0"/>
          <w:sz w:val="76"/>
          <w:shd w:fill="auto" w:val="clear"/>
        </w:rPr>
        <w:t xml:space="preserve">PSM </w:t>
      </w:r>
    </w:p>
    <w:p>
      <w:pPr>
        <w:spacing w:before="840" w:after="120" w:line="240"/>
        <w:ind w:right="0" w:left="0" w:firstLine="0"/>
        <w:jc w:val="right"/>
        <w:rPr>
          <w:rFonts w:ascii="Eras Demi ITC" w:hAnsi="Eras Demi ITC" w:cs="Eras Demi ITC" w:eastAsia="Eras Demi ITC"/>
          <w:color w:val="323E4F"/>
          <w:spacing w:val="0"/>
          <w:position w:val="0"/>
          <w:sz w:val="40"/>
          <w:shd w:fill="auto" w:val="clear"/>
        </w:rPr>
      </w:pPr>
      <w:r>
        <w:rPr>
          <w:rFonts w:ascii="Eras Demi ITC" w:hAnsi="Eras Demi ITC" w:cs="Eras Demi ITC" w:eastAsia="Eras Demi ITC"/>
          <w:color w:val="323E4F"/>
          <w:spacing w:val="0"/>
          <w:position w:val="0"/>
          <w:sz w:val="40"/>
          <w:shd w:fill="auto" w:val="clear"/>
        </w:rPr>
        <w:t xml:space="preserve">Functional Requirement Document V1.0</w:t>
      </w:r>
    </w:p>
    <w:p>
      <w:pPr>
        <w:spacing w:before="840" w:after="120" w:line="240"/>
        <w:ind w:right="0" w:left="0" w:firstLine="0"/>
        <w:jc w:val="right"/>
        <w:rPr>
          <w:rFonts w:ascii="Eras Demi ITC" w:hAnsi="Eras Demi ITC" w:cs="Eras Demi ITC" w:eastAsia="Eras Demi ITC"/>
          <w:color w:val="323E4F"/>
          <w:spacing w:val="0"/>
          <w:position w:val="0"/>
          <w:sz w:val="40"/>
          <w:shd w:fill="auto" w:val="clear"/>
        </w:rPr>
      </w:pPr>
    </w:p>
    <w:p>
      <w:pPr>
        <w:spacing w:before="840" w:after="60" w:line="276"/>
        <w:ind w:right="0" w:left="0" w:firstLine="0"/>
        <w:jc w:val="right"/>
        <w:rPr>
          <w:rFonts w:ascii="Trebuchet MS" w:hAnsi="Trebuchet MS" w:cs="Trebuchet MS" w:eastAsia="Trebuchet MS"/>
          <w:b/>
          <w:color w:val="0C4165"/>
          <w:spacing w:val="0"/>
          <w:position w:val="0"/>
          <w:sz w:val="44"/>
          <w:shd w:fill="auto" w:val="clear"/>
        </w:rPr>
      </w:pPr>
      <w:r>
        <w:rPr>
          <w:rFonts w:ascii="Eras Demi ITC" w:hAnsi="Eras Demi ITC" w:cs="Eras Demi ITC" w:eastAsia="Eras Demi ITC"/>
          <w:color w:val="323E4F"/>
          <w:spacing w:val="0"/>
          <w:position w:val="0"/>
          <w:sz w:val="40"/>
          <w:shd w:fill="auto" w:val="clear"/>
        </w:rPr>
        <w:t xml:space="preserve">FRD_12949_Add Total Revenue in Comparison view</w:t>
      </w:r>
    </w:p>
    <w:p>
      <w:pPr>
        <w:spacing w:before="840" w:after="60" w:line="276"/>
        <w:ind w:right="0" w:left="0" w:firstLine="0"/>
        <w:jc w:val="right"/>
        <w:rPr>
          <w:rFonts w:ascii="Trebuchet MS" w:hAnsi="Trebuchet MS" w:cs="Trebuchet MS" w:eastAsia="Trebuchet MS"/>
          <w:color w:val="00639F"/>
          <w:spacing w:val="0"/>
          <w:position w:val="0"/>
          <w:sz w:val="60"/>
          <w:shd w:fill="auto" w:val="clear"/>
        </w:rPr>
      </w:pPr>
      <w:r>
        <w:rPr>
          <w:rFonts w:ascii="Trebuchet MS" w:hAnsi="Trebuchet MS" w:cs="Trebuchet MS" w:eastAsia="Trebuchet MS"/>
          <w:color w:val="00639F"/>
          <w:spacing w:val="0"/>
          <w:position w:val="0"/>
          <w:sz w:val="60"/>
          <w:shd w:fill="auto" w:val="clear"/>
        </w:rPr>
        <w:t xml:space="preserve"> </w:t>
      </w:r>
    </w:p>
    <w:p>
      <w:pPr>
        <w:spacing w:before="840" w:after="60" w:line="276"/>
        <w:ind w:right="0" w:left="0" w:firstLine="0"/>
        <w:jc w:val="right"/>
        <w:rPr>
          <w:rFonts w:ascii="Trebuchet MS" w:hAnsi="Trebuchet MS" w:cs="Trebuchet MS" w:eastAsia="Trebuchet MS"/>
          <w:color w:val="00639F"/>
          <w:spacing w:val="0"/>
          <w:position w:val="0"/>
          <w:sz w:val="60"/>
          <w:shd w:fill="auto" w:val="clear"/>
        </w:rPr>
      </w:pPr>
      <w:r>
        <w:rPr>
          <w:rFonts w:ascii="Trebuchet MS" w:hAnsi="Trebuchet MS" w:cs="Trebuchet MS" w:eastAsia="Trebuchet MS"/>
          <w:color w:val="00639F"/>
          <w:spacing w:val="0"/>
          <w:position w:val="0"/>
          <w:sz w:val="60"/>
          <w:shd w:fill="auto" w:val="clear"/>
        </w:rPr>
        <w:tab/>
      </w: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Index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right" w:pos="9350" w:leader="dot"/>
        </w:tabs>
        <w:spacing w:before="0" w:after="10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563C1"/>
          <w:spacing w:val="0"/>
          <w:position w:val="0"/>
          <w:sz w:val="22"/>
          <w:u w:val="single"/>
          <w:shd w:fill="auto" w:val="clear"/>
        </w:rPr>
        <w:t xml:space="preserve">Index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2</w:t>
      </w:r>
    </w:p>
    <w:p>
      <w:pPr>
        <w:tabs>
          <w:tab w:val="left" w:pos="440" w:leader="none"/>
          <w:tab w:val="right" w:pos="9350" w:leader="dot"/>
        </w:tabs>
        <w:spacing w:before="0" w:after="10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563C1"/>
          <w:spacing w:val="0"/>
          <w:position w:val="0"/>
          <w:sz w:val="22"/>
          <w:u w:val="single"/>
          <w:shd w:fill="auto" w:val="clear"/>
        </w:rPr>
        <w:t xml:space="preserve">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0563C1"/>
          <w:spacing w:val="0"/>
          <w:position w:val="0"/>
          <w:sz w:val="22"/>
          <w:u w:val="single"/>
          <w:shd w:fill="auto" w:val="clear"/>
        </w:rPr>
        <w:t xml:space="preserve">Document Details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3</w:t>
      </w:r>
    </w:p>
    <w:p>
      <w:pPr>
        <w:tabs>
          <w:tab w:val="left" w:pos="440" w:leader="none"/>
          <w:tab w:val="right" w:pos="9350" w:leader="dot"/>
        </w:tabs>
        <w:spacing w:before="0" w:after="10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563C1"/>
          <w:spacing w:val="0"/>
          <w:position w:val="0"/>
          <w:sz w:val="22"/>
          <w:u w:val="single"/>
          <w:shd w:fill="auto" w:val="clear"/>
        </w:rPr>
        <w:t xml:space="preserve">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0563C1"/>
          <w:spacing w:val="0"/>
          <w:position w:val="0"/>
          <w:sz w:val="22"/>
          <w:u w:val="single"/>
          <w:shd w:fill="auto" w:val="clear"/>
        </w:rPr>
        <w:t xml:space="preserve">Change Log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3</w:t>
      </w:r>
    </w:p>
    <w:p>
      <w:pPr>
        <w:tabs>
          <w:tab w:val="left" w:pos="440" w:leader="none"/>
          <w:tab w:val="right" w:pos="9350" w:leader="dot"/>
        </w:tabs>
        <w:spacing w:before="0" w:after="10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563C1"/>
          <w:spacing w:val="0"/>
          <w:position w:val="0"/>
          <w:sz w:val="22"/>
          <w:u w:val="single"/>
          <w:shd w:fill="auto" w:val="clear"/>
        </w:rPr>
        <w:t xml:space="preserve">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0563C1"/>
          <w:spacing w:val="0"/>
          <w:position w:val="0"/>
          <w:sz w:val="22"/>
          <w:u w:val="single"/>
          <w:shd w:fill="auto" w:val="clear"/>
        </w:rPr>
        <w:t xml:space="preserve">Functional Requirement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3</w:t>
      </w:r>
    </w:p>
    <w:p>
      <w:pPr>
        <w:tabs>
          <w:tab w:val="left" w:pos="440" w:leader="none"/>
          <w:tab w:val="right" w:pos="9350" w:leader="dot"/>
        </w:tabs>
        <w:spacing w:before="0" w:after="10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563C1"/>
          <w:spacing w:val="0"/>
          <w:position w:val="0"/>
          <w:sz w:val="22"/>
          <w:u w:val="single"/>
          <w:shd w:fill="auto" w:val="clear"/>
        </w:rPr>
        <w:t xml:space="preserve">4.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0563C1"/>
          <w:spacing w:val="0"/>
          <w:position w:val="0"/>
          <w:sz w:val="22"/>
          <w:u w:val="single"/>
          <w:shd w:fill="auto" w:val="clear"/>
        </w:rPr>
        <w:t xml:space="preserve">Impacted Areas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numPr>
          <w:ilvl w:val="0"/>
          <w:numId w:val="8"/>
        </w:numPr>
        <w:spacing w:before="240" w:after="0" w:line="259"/>
        <w:ind w:right="0" w:left="360" w:hanging="36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Document Details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36"/>
        <w:gridCol w:w="2779"/>
        <w:gridCol w:w="4309"/>
      </w:tblGrid>
      <w:tr>
        <w:trPr>
          <w:trHeight w:val="264" w:hRule="auto"/>
          <w:jc w:val="center"/>
        </w:trPr>
        <w:tc>
          <w:tcPr>
            <w:tcW w:w="2036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Document Owners</w:t>
            </w:r>
          </w:p>
        </w:tc>
        <w:tc>
          <w:tcPr>
            <w:tcW w:w="2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Author</w:t>
            </w:r>
          </w:p>
        </w:tc>
        <w:tc>
          <w:tcPr>
            <w:tcW w:w="43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Prabhleen Kaur</w:t>
            </w:r>
          </w:p>
        </w:tc>
      </w:tr>
      <w:tr>
        <w:trPr>
          <w:trHeight w:val="249" w:hRule="auto"/>
          <w:jc w:val="center"/>
        </w:trPr>
        <w:tc>
          <w:tcPr>
            <w:tcW w:w="2036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Reviewer</w:t>
            </w:r>
          </w:p>
        </w:tc>
        <w:tc>
          <w:tcPr>
            <w:tcW w:w="43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Akanksha Ashar</w:t>
            </w:r>
          </w:p>
        </w:tc>
      </w:tr>
      <w:tr>
        <w:trPr>
          <w:trHeight w:val="264" w:hRule="auto"/>
          <w:jc w:val="center"/>
        </w:trPr>
        <w:tc>
          <w:tcPr>
            <w:tcW w:w="20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Ticket Link</w:t>
            </w:r>
          </w:p>
        </w:tc>
        <w:tc>
          <w:tcPr>
            <w:tcW w:w="708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hyperlink xmlns:r="http://schemas.openxmlformats.org/officeDocument/2006/relationships" r:id="docRId2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https://psosvn.vistaar.local/baod/ticket/12949</w:t>
              </w:r>
            </w:hyperlink>
          </w:p>
        </w:tc>
      </w:tr>
    </w:tbl>
    <w:p>
      <w:pPr>
        <w:keepNext w:val="true"/>
        <w:keepLines w:val="true"/>
        <w:numPr>
          <w:ilvl w:val="0"/>
          <w:numId w:val="20"/>
        </w:numPr>
        <w:spacing w:before="240" w:after="0" w:line="259"/>
        <w:ind w:right="0" w:left="360" w:hanging="36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Change Log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69"/>
        <w:gridCol w:w="1894"/>
        <w:gridCol w:w="1843"/>
        <w:gridCol w:w="5387"/>
      </w:tblGrid>
      <w:tr>
        <w:trPr>
          <w:trHeight w:val="264" w:hRule="auto"/>
          <w:jc w:val="center"/>
        </w:trPr>
        <w:tc>
          <w:tcPr>
            <w:tcW w:w="3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#</w:t>
            </w:r>
          </w:p>
        </w:tc>
        <w:tc>
          <w:tcPr>
            <w:tcW w:w="1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Author</w:t>
            </w:r>
          </w:p>
        </w:tc>
        <w:tc>
          <w:tcPr>
            <w:tcW w:w="53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Comments</w:t>
            </w:r>
          </w:p>
        </w:tc>
      </w:tr>
      <w:tr>
        <w:trPr>
          <w:trHeight w:val="264" w:hRule="auto"/>
          <w:jc w:val="center"/>
        </w:trPr>
        <w:tc>
          <w:tcPr>
            <w:tcW w:w="3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9" w:hRule="auto"/>
          <w:jc w:val="center"/>
        </w:trPr>
        <w:tc>
          <w:tcPr>
            <w:tcW w:w="3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64" w:hRule="auto"/>
          <w:jc w:val="center"/>
        </w:trPr>
        <w:tc>
          <w:tcPr>
            <w:tcW w:w="3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keepLines w:val="true"/>
        <w:numPr>
          <w:ilvl w:val="0"/>
          <w:numId w:val="34"/>
        </w:numPr>
        <w:spacing w:before="240" w:after="0" w:line="259"/>
        <w:ind w:right="0" w:left="360" w:hanging="36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Functional Requirement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2F5496"/>
          <w:spacing w:val="0"/>
          <w:position w:val="0"/>
          <w:sz w:val="26"/>
          <w:shd w:fill="auto" w:val="clear"/>
        </w:rPr>
        <w:t xml:space="preserve">Business Problem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Currently, there is no option to compare the planned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Total Revenue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($)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value of the planned section with the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Budget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or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LY Actuals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section.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2F5496"/>
          <w:spacing w:val="0"/>
          <w:position w:val="0"/>
          <w:sz w:val="26"/>
          <w:shd w:fill="auto" w:val="clear"/>
        </w:rPr>
        <w:t xml:space="preserve">Solution:</w:t>
      </w:r>
    </w:p>
    <w:p>
      <w:pPr>
        <w:numPr>
          <w:ilvl w:val="0"/>
          <w:numId w:val="38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Introduce a new metric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Total Revenue ($)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 in the LY Actuals section below the “Total Price Margin ($)” fact in the CSP workarea.</w:t>
      </w:r>
    </w:p>
    <w:p>
      <w:pPr>
        <w:spacing w:before="0" w:after="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formula for calculating Total Revenue ($)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Total Revenue ($)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 Current: Net FOB (NSV) ($/cs) *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LY Actuals: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 Volume (cs)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Note: The Net FOB (NSV) ($/cs) value is from Current section of last year's CSP.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object w:dxaOrig="12006" w:dyaOrig="1315">
          <v:rect xmlns:o="urn:schemas-microsoft-com:office:office" xmlns:v="urn:schemas-microsoft-com:vml" id="rectole0000000001" style="width:600.300000pt;height:65.7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numPr>
          <w:ilvl w:val="0"/>
          <w:numId w:val="4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new metric “Total Revenue ($)” needs to be added to the “Pricing Metrics” dropdown below the “Total Price Margin Metrics” of the Comparison view.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2006" w:dyaOrig="4697">
          <v:rect xmlns:o="urn:schemas-microsoft-com:office:office" xmlns:v="urn:schemas-microsoft-com:vml" id="rectole0000000002" style="width:600.300000pt;height:234.8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b/>
          <w:color w:val="1F3763"/>
          <w:spacing w:val="0"/>
          <w:position w:val="0"/>
          <w:sz w:val="24"/>
          <w:shd w:fill="auto" w:val="clear"/>
        </w:rPr>
        <w:t xml:space="preserve">Note:</w:t>
      </w:r>
    </w:p>
    <w:p>
      <w:pPr>
        <w:numPr>
          <w:ilvl w:val="0"/>
          <w:numId w:val="45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value of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Total Revenue ($)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column will be fetched from respective sections for comparison</w:t>
      </w:r>
    </w:p>
    <w:p>
      <w:pPr>
        <w:numPr>
          <w:ilvl w:val="0"/>
          <w:numId w:val="45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Total Revenue ($)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metric should be visible by default in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Comparison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view and in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Workarea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should depend on the ClosedStateAttribute file. </w:t>
      </w:r>
      <w:r>
        <w:rPr>
          <w:rFonts w:ascii="Calibri" w:hAnsi="Calibri" w:cs="Calibri" w:eastAsia="Calibri"/>
          <w:i/>
          <w:color w:val="FF0000"/>
          <w:spacing w:val="0"/>
          <w:position w:val="0"/>
          <w:sz w:val="22"/>
          <w:shd w:fill="auto" w:val="clear"/>
        </w:rPr>
        <w:t xml:space="preserve">(Based on discussion with the dev team, we are making workarea visibility dependent on the CloseStateAttribute file, to keep the system in sync)</w:t>
      </w:r>
    </w:p>
    <w:p>
      <w:pPr>
        <w:numPr>
          <w:ilvl w:val="0"/>
          <w:numId w:val="45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FF0000"/>
          <w:spacing w:val="0"/>
          <w:position w:val="0"/>
          <w:sz w:val="22"/>
          <w:shd w:fill="auto" w:val="clear"/>
        </w:rPr>
        <w:t xml:space="preserve">No changes are expected for 'Total Revenue' fact in remaining sections (LE, LLY Actuals, etc.), the visibility and formula for those sections remains unchanged.</w:t>
      </w:r>
    </w:p>
    <w:p>
      <w:pPr>
        <w:numPr>
          <w:ilvl w:val="0"/>
          <w:numId w:val="45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i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FF0000"/>
          <w:spacing w:val="0"/>
          <w:position w:val="0"/>
          <w:sz w:val="22"/>
          <w:shd w:fill="auto" w:val="clear"/>
        </w:rPr>
        <w:t xml:space="preserve">For the SPA Report, to keep the data in sync with the CSP workarea, following changes are required </w:t>
      </w:r>
      <w:r>
        <w:rPr>
          <w:rFonts w:ascii="Calibri" w:hAnsi="Calibri" w:cs="Calibri" w:eastAsia="Calibri"/>
          <w:i/>
          <w:color w:val="FF0000"/>
          <w:spacing w:val="0"/>
          <w:position w:val="0"/>
          <w:sz w:val="22"/>
          <w:shd w:fill="auto" w:val="clear"/>
        </w:rPr>
        <w:t xml:space="preserve">–</w:t>
      </w:r>
    </w:p>
    <w:p>
      <w:pPr>
        <w:numPr>
          <w:ilvl w:val="0"/>
          <w:numId w:val="46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i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FF0000"/>
          <w:spacing w:val="0"/>
          <w:position w:val="0"/>
          <w:sz w:val="22"/>
          <w:shd w:fill="auto" w:val="clear"/>
        </w:rPr>
        <w:t xml:space="preserve">Current section</w:t>
      </w:r>
      <w:r>
        <w:rPr>
          <w:rFonts w:ascii="Calibri" w:hAnsi="Calibri" w:cs="Calibri" w:eastAsia="Calibri"/>
          <w:i/>
          <w:color w:val="FF0000"/>
          <w:spacing w:val="0"/>
          <w:position w:val="0"/>
          <w:sz w:val="22"/>
          <w:shd w:fill="auto" w:val="clear"/>
        </w:rPr>
        <w:t xml:space="preserve"> - Instead of current behavior where stored value of "Total Revenue" is displayed, we will display a recalculated value of "Total Revenue". This recalculated value will be using "Actuals Volume" (if available) else with use of "Planned Volume".</w:t>
      </w:r>
    </w:p>
    <w:p>
      <w:pPr>
        <w:numPr>
          <w:ilvl w:val="0"/>
          <w:numId w:val="46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FF0000"/>
          <w:spacing w:val="0"/>
          <w:position w:val="0"/>
          <w:sz w:val="22"/>
          <w:shd w:fill="auto" w:val="clear"/>
        </w:rPr>
        <w:t xml:space="preserve">LY Actuals section</w:t>
      </w:r>
      <w:r>
        <w:rPr>
          <w:rFonts w:ascii="Calibri" w:hAnsi="Calibri" w:cs="Calibri" w:eastAsia="Calibri"/>
          <w:i/>
          <w:color w:val="FF0000"/>
          <w:spacing w:val="0"/>
          <w:position w:val="0"/>
          <w:sz w:val="22"/>
          <w:shd w:fill="auto" w:val="clear"/>
        </w:rPr>
        <w:t xml:space="preserve"> - SPA report will show "Total Revenue" calculated using previous year's "Actuals Volume" (if available) else "Total Revenue" from current section of previous year CSP.</w:t>
      </w:r>
    </w:p>
    <w:p>
      <w:pPr>
        <w:numPr>
          <w:ilvl w:val="0"/>
          <w:numId w:val="47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the export,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Total Revenue ($)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row should be visible in the workarea export below the “Total Price Margin(%)” fact of the LY Actuals section. </w:t>
      </w:r>
    </w:p>
    <w:p>
      <w:pPr>
        <w:numPr>
          <w:ilvl w:val="0"/>
          <w:numId w:val="47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new row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Total Revenue ($)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 should be exported by default if the Comparison view is selected for export. It should not be dependent on the “Supplier metrics” checkbox.</w:t>
      </w:r>
    </w:p>
    <w:p>
      <w:pPr>
        <w:numPr>
          <w:ilvl w:val="0"/>
          <w:numId w:val="47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Attaching PS export mock for reference -- 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2573" w:dyaOrig="3421">
          <v:rect xmlns:o="urn:schemas-microsoft-com:office:office" xmlns:v="urn:schemas-microsoft-com:vml" id="rectole0000000003" style="width:628.650000pt;height:171.0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2593" w:dyaOrig="3401">
          <v:rect xmlns:o="urn:schemas-microsoft-com:office:office" xmlns:v="urn:schemas-microsoft-com:vml" id="rectole0000000004" style="width:629.650000pt;height:170.0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51"/>
        </w:numPr>
        <w:spacing w:before="240" w:after="0" w:line="259"/>
        <w:ind w:right="0" w:left="360" w:hanging="36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Impacted Areas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567"/>
        <w:gridCol w:w="2375"/>
        <w:gridCol w:w="1819"/>
        <w:gridCol w:w="5102"/>
      </w:tblGrid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Sr.#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Section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Sub-section</w:t>
            </w: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Details</w:t>
            </w: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Inbound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Administration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4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My Task Screen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PS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Finder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66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PS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Work area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PS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History Screen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PS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Deal Calendar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PS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Export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CSP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Finder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6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10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CSP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Work area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Yes, a new metric “Total Revenue ($)” will be visible in the workarea</w:t>
            </w:r>
          </w:p>
        </w:tc>
      </w:tr>
      <w:tr>
        <w:trPr>
          <w:trHeight w:val="176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CSP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History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6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CSP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Comparison view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Yes, a new metric “Total Revenue ($)” will be visible in the Comparison view</w:t>
            </w:r>
          </w:p>
        </w:tc>
      </w:tr>
      <w:tr>
        <w:trPr>
          <w:trHeight w:val="176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CSP - Export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Yes, a new row “Total Revenue ($)” will be added to the 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Comparison view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sheet</w:t>
            </w: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14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Workflow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Configurability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16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Reports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Yes, the report can be generated for the “Total Revenue ($)” metric for the LY Actuals section.</w:t>
            </w:r>
          </w:p>
        </w:tc>
      </w:tr>
      <w:tr>
        <w:trPr>
          <w:trHeight w:val="244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17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Outbound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18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19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Integration with RM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Migration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Yes, for older CSPs we need data migration. Whenever users export an existing CSP or use the Comparison view from the UI, they should be able to use the “Total Revenue ($)” metric.</w:t>
              <w:br/>
              <w:t xml:space="preserve">The “Total Revenue ($)” fact should be visible in the historic CSP workarea. in the LY Actuals section along with the calculated values.</w:t>
            </w: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21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Backward Compatibility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22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Mass Update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23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Chain Plan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12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center"/>
        </w:trPr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</w:t>
            </w:r>
          </w:p>
        </w:tc>
        <w:tc>
          <w:tcPr>
            <w:tcW w:w="2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Combo Management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12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8">
    <w:abstractNumId w:val="42"/>
  </w:num>
  <w:num w:numId="20">
    <w:abstractNumId w:val="36"/>
  </w:num>
  <w:num w:numId="34">
    <w:abstractNumId w:val="30"/>
  </w:num>
  <w:num w:numId="38">
    <w:abstractNumId w:val="24"/>
  </w:num>
  <w:num w:numId="42">
    <w:abstractNumId w:val="18"/>
  </w:num>
  <w:num w:numId="45">
    <w:abstractNumId w:val="12"/>
  </w:num>
  <w:num w:numId="46">
    <w:abstractNumId w:val="1"/>
  </w:num>
  <w:num w:numId="47">
    <w:abstractNumId w:val="6"/>
  </w:num>
  <w:num w:numId="5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embeddings/oleObject3.bin" Id="docRId7" Type="http://schemas.openxmlformats.org/officeDocument/2006/relationships/oleObject" /><Relationship Target="media/image4.wmf" Id="docRId10" Type="http://schemas.openxmlformats.org/officeDocument/2006/relationships/image" /><Relationship TargetMode="External" Target="https://psosvn.vistaar.local/baod/ticket/12949" Id="docRId2" Type="http://schemas.openxmlformats.org/officeDocument/2006/relationships/hyperlink" /><Relationship Target="media/image2.wmf" Id="docRId6" Type="http://schemas.openxmlformats.org/officeDocument/2006/relationships/image" /><Relationship Target="media/image0.wmf" Id="docRId1" Type="http://schemas.openxmlformats.org/officeDocument/2006/relationships/image" /><Relationship Target="numbering.xml" Id="docRId11" Type="http://schemas.openxmlformats.org/officeDocument/2006/relationships/numbering" /><Relationship Target="embeddings/oleObject2.bin" Id="docRId5" Type="http://schemas.openxmlformats.org/officeDocument/2006/relationships/oleObject" /><Relationship Target="embeddings/oleObject4.bin" Id="docRId9" Type="http://schemas.openxmlformats.org/officeDocument/2006/relationships/oleObject" /><Relationship Target="embeddings/oleObject0.bin" Id="docRId0" Type="http://schemas.openxmlformats.org/officeDocument/2006/relationships/oleObject" /><Relationship Target="styles.xml" Id="docRId12" Type="http://schemas.openxmlformats.org/officeDocument/2006/relationships/styles" /><Relationship Target="media/image1.wmf" Id="docRId4" Type="http://schemas.openxmlformats.org/officeDocument/2006/relationships/image" /><Relationship Target="media/image3.wmf" Id="docRId8" Type="http://schemas.openxmlformats.org/officeDocument/2006/relationships/image" /></Relationships>
</file>