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60"/>
        <w:rPr/>
      </w:pPr>
      <w:r>
        <w:rPr>
          <w:b/>
          <w:bCs/>
          <w:color w:val="1F3864"/>
          <w:sz w:val="40"/>
          <w:szCs w:val="40"/>
        </w:rPr>
        <w:tab/>
        <w:tab/>
        <w:tab/>
        <w:t>PROTECTION PLATFORM</w:t>
      </w:r>
    </w:p>
    <w:p>
      <w:pPr>
        <w:pStyle w:val="Normal"/>
        <w:spacing w:before="0" w:after="40"/>
        <w:rPr/>
      </w:pPr>
      <w:r>
        <w:rPr>
          <w:b/>
          <w:bCs/>
          <w:color w:val="B08D3D"/>
          <w:sz w:val="26"/>
          <w:szCs w:val="26"/>
        </w:rPr>
        <w:t xml:space="preserve">Task Division &amp; </w:t>
      </w:r>
      <w:r>
        <w:rPr>
          <w:b/>
          <w:bCs/>
          <w:color w:val="B08D3D"/>
          <w:sz w:val="26"/>
          <w:szCs w:val="26"/>
        </w:rPr>
        <w:t xml:space="preserve">Platform </w:t>
      </w:r>
      <w:r>
        <w:rPr>
          <w:b/>
          <w:bCs/>
          <w:color w:val="B08D3D"/>
          <w:sz w:val="26"/>
          <w:szCs w:val="26"/>
        </w:rPr>
        <w:t xml:space="preserve">Roadmap </w:t>
      </w:r>
    </w:p>
    <w:p>
      <w:pPr>
        <w:pStyle w:val="Heading1"/>
        <w:pBdr>
          <w:bottom w:val="single" w:sz="6" w:space="4" w:color="B08D3D"/>
        </w:pBdr>
        <w:spacing w:before="400" w:after="200"/>
        <w:rPr/>
      </w:pPr>
      <w:r>
        <w:rPr>
          <w:b/>
          <w:bCs/>
          <w:color w:val="1F3864"/>
          <w:sz w:val="30"/>
          <w:szCs w:val="30"/>
        </w:rPr>
        <w:t>Part 1 — P</w:t>
      </w:r>
      <w:r>
        <w:rPr>
          <w:b/>
          <w:bCs/>
          <w:color w:val="1F3864"/>
          <w:sz w:val="30"/>
          <w:szCs w:val="30"/>
        </w:rPr>
        <w:t xml:space="preserve">latform </w:t>
      </w:r>
      <w:r>
        <w:rPr>
          <w:b/>
          <w:bCs/>
          <w:color w:val="1F3864"/>
          <w:sz w:val="30"/>
          <w:szCs w:val="30"/>
        </w:rPr>
        <w:t>Roadmap</w:t>
      </w:r>
    </w:p>
    <w:p>
      <w:pPr>
        <w:pStyle w:val="Heading2"/>
        <w:spacing w:before="280" w:after="120"/>
        <w:rPr/>
      </w:pPr>
      <w:r>
        <w:rPr>
          <w:b/>
          <w:bCs/>
          <w:color w:val="1F3864"/>
          <w:sz w:val="24"/>
          <w:szCs w:val="24"/>
        </w:rPr>
        <w:t>Phase 1 — Core Reporting &amp; Emergency Response (build first)</w:t>
      </w:r>
    </w:p>
    <w:tbl>
      <w:tblPr>
        <w:tblW w:w="9311" w:type="dxa"/>
        <w:jc w:val="left"/>
        <w:tblInd w:w="89" w:type="dxa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516"/>
        <w:gridCol w:w="4795"/>
      </w:tblGrid>
      <w:tr>
        <w:trPr>
          <w:tblHeader w:val="true"/>
        </w:trPr>
        <w:tc>
          <w:tcPr>
            <w:tcW w:w="4516" w:type="dxa"/>
            <w:tcBorders>
              <w:top w:val="single" w:sz="4" w:space="0" w:color="CCCCCC"/>
              <w:left w:val="single" w:sz="4" w:space="0" w:color="CCCCCC"/>
              <w:bottom w:val="single" w:sz="12" w:space="0" w:color="1F3864"/>
              <w:right w:val="single" w:sz="4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19"/>
                <w:szCs w:val="19"/>
              </w:rPr>
              <w:t>FEATURE</w:t>
            </w:r>
          </w:p>
        </w:tc>
        <w:tc>
          <w:tcPr>
            <w:tcW w:w="4795" w:type="dxa"/>
            <w:tcBorders>
              <w:top w:val="single" w:sz="4" w:space="0" w:color="CCCCCC"/>
              <w:left w:val="single" w:sz="4" w:space="0" w:color="CCCCCC"/>
              <w:bottom w:val="single" w:sz="12" w:space="0" w:color="1F3864"/>
              <w:right w:val="single" w:sz="4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19"/>
                <w:szCs w:val="19"/>
              </w:rPr>
              <w:t>functions</w:t>
            </w:r>
          </w:p>
        </w:tc>
      </w:tr>
      <w:tr>
        <w:trPr/>
        <w:tc>
          <w:tcPr>
            <w:tcW w:w="45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auto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Anonymous Reporting</w:t>
            </w:r>
          </w:p>
        </w:tc>
        <w:tc>
          <w:tcPr>
            <w:tcW w:w="47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auto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>
                <w:color w:val="333333"/>
                <w:sz w:val="19"/>
                <w:szCs w:val="19"/>
              </w:rPr>
              <w:t>The core function of the entire platform — must work without requiring an account or identity.</w:t>
            </w:r>
          </w:p>
        </w:tc>
      </w:tr>
      <w:tr>
        <w:trPr/>
        <w:tc>
          <w:tcPr>
            <w:tcW w:w="45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auto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Emergency SOS</w:t>
            </w:r>
          </w:p>
        </w:tc>
        <w:tc>
          <w:tcPr>
            <w:tcW w:w="47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auto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>
                <w:color w:val="333333"/>
                <w:sz w:val="19"/>
                <w:szCs w:val="19"/>
              </w:rPr>
              <w:t>Quick-exit design, silent trigger option, routes to nearest station using the reporter's live location.</w:t>
            </w:r>
          </w:p>
        </w:tc>
      </w:tr>
      <w:tr>
        <w:trPr/>
        <w:tc>
          <w:tcPr>
            <w:tcW w:w="45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auto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GPS Location (opt-in)</w:t>
            </w:r>
          </w:p>
        </w:tc>
        <w:tc>
          <w:tcPr>
            <w:tcW w:w="47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auto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>
                <w:color w:val="333333"/>
                <w:sz w:val="19"/>
                <w:szCs w:val="19"/>
              </w:rPr>
              <w:t>Captured only with explicit consent; incident location and reporter's live location tracked separately.</w:t>
            </w:r>
          </w:p>
        </w:tc>
      </w:tr>
      <w:tr>
        <w:trPr/>
        <w:tc>
          <w:tcPr>
            <w:tcW w:w="45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auto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Reference Number Tracking</w:t>
            </w:r>
          </w:p>
        </w:tc>
        <w:tc>
          <w:tcPr>
            <w:tcW w:w="47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auto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>
                <w:color w:val="333333"/>
                <w:sz w:val="19"/>
                <w:szCs w:val="19"/>
              </w:rPr>
              <w:t>Long, random reference codes (not sequential) so no one can guess or browse other people's reports.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280" w:after="120"/>
        <w:rPr/>
      </w:pPr>
      <w:r>
        <w:rPr>
          <w:b/>
          <w:bCs/>
          <w:color w:val="1F3864"/>
          <w:sz w:val="24"/>
          <w:szCs w:val="24"/>
        </w:rPr>
        <w:t>Phase 2 — Evidence, Routing &amp; Case Handling</w:t>
      </w:r>
    </w:p>
    <w:tbl>
      <w:tblPr>
        <w:tblW w:w="9400" w:type="dxa"/>
        <w:jc w:val="left"/>
        <w:tblInd w:w="0" w:type="dxa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599"/>
        <w:gridCol w:w="4801"/>
      </w:tblGrid>
      <w:tr>
        <w:trPr>
          <w:tblHeader w:val="true"/>
        </w:trPr>
        <w:tc>
          <w:tcPr>
            <w:tcW w:w="4599" w:type="dxa"/>
            <w:tcBorders>
              <w:top w:val="single" w:sz="4" w:space="0" w:color="CCCCCC"/>
              <w:left w:val="single" w:sz="4" w:space="0" w:color="CCCCCC"/>
              <w:bottom w:val="single" w:sz="12" w:space="0" w:color="1F3864"/>
              <w:right w:val="single" w:sz="4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19"/>
                <w:szCs w:val="19"/>
              </w:rPr>
              <w:t>FEATURE</w:t>
            </w:r>
          </w:p>
        </w:tc>
        <w:tc>
          <w:tcPr>
            <w:tcW w:w="4801" w:type="dxa"/>
            <w:tcBorders>
              <w:top w:val="single" w:sz="4" w:space="0" w:color="CCCCCC"/>
              <w:left w:val="single" w:sz="4" w:space="0" w:color="CCCCCC"/>
              <w:bottom w:val="single" w:sz="12" w:space="0" w:color="1F3864"/>
              <w:right w:val="single" w:sz="4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19"/>
                <w:szCs w:val="19"/>
              </w:rPr>
              <w:t>functions</w:t>
            </w:r>
          </w:p>
        </w:tc>
      </w:tr>
      <w:tr>
        <w:trPr/>
        <w:tc>
          <w:tcPr>
            <w:tcW w:w="45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auto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Photo / Video / Document Upload</w:t>
            </w:r>
          </w:p>
        </w:tc>
        <w:tc>
          <w:tcPr>
            <w:tcW w:w="48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auto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>
                <w:color w:val="333333"/>
                <w:sz w:val="19"/>
                <w:szCs w:val="19"/>
              </w:rPr>
              <w:t>Encrypted storage, access-logged, EXIF/GPS metadata stripped before anything is ever displayed.</w:t>
            </w:r>
          </w:p>
        </w:tc>
      </w:tr>
      <w:tr>
        <w:trPr/>
        <w:tc>
          <w:tcPr>
            <w:tcW w:w="45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auto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District Office Routing</w:t>
            </w:r>
          </w:p>
        </w:tc>
        <w:tc>
          <w:tcPr>
            <w:tcW w:w="48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auto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>
                <w:color w:val="333333"/>
                <w:sz w:val="19"/>
                <w:szCs w:val="19"/>
              </w:rPr>
              <w:t>Auto-assigns a report to the correct office based on district, with nearest-station logic for SOS cases.</w:t>
            </w:r>
          </w:p>
        </w:tc>
      </w:tr>
      <w:tr>
        <w:trPr/>
        <w:tc>
          <w:tcPr>
            <w:tcW w:w="45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auto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Ministry Dashboard</w:t>
            </w:r>
          </w:p>
        </w:tc>
        <w:tc>
          <w:tcPr>
            <w:tcW w:w="48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auto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>
                <w:color w:val="333333"/>
                <w:sz w:val="19"/>
                <w:szCs w:val="19"/>
              </w:rPr>
              <w:t>Case queue, status updates, assignment — the day-to-day tool ministry staff will actually live in.</w:t>
            </w:r>
          </w:p>
        </w:tc>
      </w:tr>
      <w:tr>
        <w:trPr/>
        <w:tc>
          <w:tcPr>
            <w:tcW w:w="45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auto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Email / SMS Notifications</w:t>
            </w:r>
          </w:p>
        </w:tc>
        <w:tc>
          <w:tcPr>
            <w:tcW w:w="48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auto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>
                <w:color w:val="333333"/>
                <w:sz w:val="19"/>
                <w:szCs w:val="19"/>
              </w:rPr>
              <w:t>Reference number + status only — never case details, names, or location, since SMS isn't encrypted.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280" w:after="120"/>
        <w:rPr/>
      </w:pPr>
      <w:r>
        <w:rPr>
          <w:b/>
          <w:bCs/>
          <w:color w:val="1F3864"/>
          <w:sz w:val="24"/>
          <w:szCs w:val="24"/>
        </w:rPr>
        <w:t>Phase 3 — Oversight &amp; Intelligence</w:t>
      </w:r>
    </w:p>
    <w:tbl>
      <w:tblPr>
        <w:tblW w:w="9400" w:type="dxa"/>
        <w:jc w:val="left"/>
        <w:tblInd w:w="0" w:type="dxa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599"/>
        <w:gridCol w:w="4801"/>
      </w:tblGrid>
      <w:tr>
        <w:trPr>
          <w:tblHeader w:val="true"/>
        </w:trPr>
        <w:tc>
          <w:tcPr>
            <w:tcW w:w="4599" w:type="dxa"/>
            <w:tcBorders>
              <w:top w:val="single" w:sz="4" w:space="0" w:color="CCCCCC"/>
              <w:left w:val="single" w:sz="4" w:space="0" w:color="CCCCCC"/>
              <w:bottom w:val="single" w:sz="12" w:space="0" w:color="1F3864"/>
              <w:right w:val="single" w:sz="4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19"/>
                <w:szCs w:val="19"/>
              </w:rPr>
              <w:t>FEATURE</w:t>
            </w:r>
          </w:p>
        </w:tc>
        <w:tc>
          <w:tcPr>
            <w:tcW w:w="4801" w:type="dxa"/>
            <w:tcBorders>
              <w:top w:val="single" w:sz="4" w:space="0" w:color="CCCCCC"/>
              <w:left w:val="single" w:sz="4" w:space="0" w:color="CCCCCC"/>
              <w:bottom w:val="single" w:sz="12" w:space="0" w:color="1F3864"/>
              <w:right w:val="single" w:sz="4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19"/>
                <w:szCs w:val="19"/>
              </w:rPr>
              <w:t>functions</w:t>
            </w:r>
          </w:p>
        </w:tc>
      </w:tr>
      <w:tr>
        <w:trPr/>
        <w:tc>
          <w:tcPr>
            <w:tcW w:w="45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auto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Analytics Dashboard</w:t>
            </w:r>
          </w:p>
        </w:tc>
        <w:tc>
          <w:tcPr>
            <w:tcW w:w="48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auto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>
                <w:color w:val="333333"/>
                <w:sz w:val="19"/>
                <w:szCs w:val="19"/>
              </w:rPr>
              <w:t>Case volumes, response times, office performance — for ministry leadership, not the public.</w:t>
            </w:r>
          </w:p>
        </w:tc>
      </w:tr>
      <w:tr>
        <w:trPr/>
        <w:tc>
          <w:tcPr>
            <w:tcW w:w="45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auto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Heatmaps</w:t>
            </w:r>
          </w:p>
        </w:tc>
        <w:tc>
          <w:tcPr>
            <w:tcW w:w="48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auto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>
                <w:color w:val="333333"/>
                <w:sz w:val="19"/>
                <w:szCs w:val="19"/>
              </w:rPr>
              <w:t>District/ward-level aggregation only, with a minimum-count suppression rule so no single case is ever identifiable on the map.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280" w:after="120"/>
        <w:rPr/>
      </w:pPr>
      <w:r>
        <w:rPr>
          <w:b/>
          <w:bCs/>
          <w:color w:val="1F3864"/>
          <w:sz w:val="24"/>
          <w:szCs w:val="24"/>
        </w:rPr>
        <w:t>Phase 4 — Language &amp; Access</w:t>
      </w:r>
    </w:p>
    <w:tbl>
      <w:tblPr>
        <w:tblW w:w="9400" w:type="dxa"/>
        <w:jc w:val="left"/>
        <w:tblInd w:w="0" w:type="dxa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599"/>
        <w:gridCol w:w="4801"/>
      </w:tblGrid>
      <w:tr>
        <w:trPr>
          <w:tblHeader w:val="true"/>
        </w:trPr>
        <w:tc>
          <w:tcPr>
            <w:tcW w:w="4599" w:type="dxa"/>
            <w:tcBorders>
              <w:top w:val="single" w:sz="4" w:space="0" w:color="CCCCCC"/>
              <w:left w:val="single" w:sz="4" w:space="0" w:color="CCCCCC"/>
              <w:bottom w:val="single" w:sz="12" w:space="0" w:color="1F3864"/>
              <w:right w:val="single" w:sz="4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19"/>
                <w:szCs w:val="19"/>
              </w:rPr>
              <w:t>FEATURE</w:t>
            </w:r>
          </w:p>
        </w:tc>
        <w:tc>
          <w:tcPr>
            <w:tcW w:w="4801" w:type="dxa"/>
            <w:tcBorders>
              <w:top w:val="single" w:sz="4" w:space="0" w:color="CCCCCC"/>
              <w:left w:val="single" w:sz="4" w:space="0" w:color="CCCCCC"/>
              <w:bottom w:val="single" w:sz="12" w:space="0" w:color="1F3864"/>
              <w:right w:val="single" w:sz="4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19"/>
                <w:szCs w:val="19"/>
              </w:rPr>
              <w:t>functions</w:t>
            </w:r>
          </w:p>
        </w:tc>
      </w:tr>
      <w:tr>
        <w:trPr/>
        <w:tc>
          <w:tcPr>
            <w:tcW w:w="45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auto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English / Chichewa throughout</w:t>
            </w:r>
          </w:p>
        </w:tc>
        <w:tc>
          <w:tcPr>
            <w:tcW w:w="48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auto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>
                <w:color w:val="333333"/>
                <w:sz w:val="19"/>
                <w:szCs w:val="19"/>
              </w:rPr>
              <w:t xml:space="preserve">Every form, notification, and status message — not just the homepage  needs both languages from Phase 1 onward. </w:t>
            </w:r>
            <w:r>
              <w:rPr>
                <w:color w:val="333333"/>
                <w:sz w:val="19"/>
                <w:szCs w:val="19"/>
              </w:rPr>
              <w:t xml:space="preserve">A person has to choose which they prefer </w:t>
            </w:r>
          </w:p>
        </w:tc>
      </w:tr>
      <w:tr>
        <w:trPr/>
        <w:tc>
          <w:tcPr>
            <w:tcW w:w="45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auto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Accessibility</w:t>
            </w:r>
          </w:p>
        </w:tc>
        <w:tc>
          <w:tcPr>
            <w:tcW w:w="48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auto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>
                <w:color w:val="333333"/>
                <w:sz w:val="19"/>
                <w:szCs w:val="19"/>
              </w:rPr>
              <w:t>Large text, high contrast, keyboard navigation — for reporters and district office staff alike.</w:t>
            </w:r>
          </w:p>
        </w:tc>
      </w:tr>
    </w:tbl>
    <w:p>
      <w:pPr>
        <w:pStyle w:val="Heading1"/>
        <w:pBdr>
          <w:bottom w:val="single" w:sz="6" w:space="4" w:color="B08D3D"/>
        </w:pBdr>
        <w:spacing w:before="400" w:after="200"/>
        <w:rPr/>
      </w:pPr>
      <w:r>
        <w:rPr>
          <w:b/>
          <w:bCs/>
          <w:color w:val="1F3864"/>
          <w:sz w:val="30"/>
          <w:szCs w:val="30"/>
        </w:rPr>
        <w:t>Part 2 — Task Division</w:t>
      </w:r>
    </w:p>
    <w:p>
      <w:pPr>
        <w:pStyle w:val="Heading2"/>
        <w:spacing w:before="280" w:after="120"/>
        <w:rPr/>
      </w:pPr>
      <w:r>
        <w:rPr>
          <w:b/>
          <w:bCs/>
          <w:color w:val="1F3864"/>
          <w:sz w:val="24"/>
          <w:szCs w:val="24"/>
        </w:rPr>
        <w:t>1. Design &amp; Frontend</w:t>
      </w:r>
    </w:p>
    <w:tbl>
      <w:tblPr>
        <w:tblW w:w="5000" w:type="pct"/>
        <w:jc w:val="left"/>
        <w:tblInd w:w="0" w:type="dxa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5219"/>
        <w:gridCol w:w="5220"/>
      </w:tblGrid>
      <w:tr>
        <w:trPr/>
        <w:tc>
          <w:tcPr>
            <w:tcW w:w="10439" w:type="dxa"/>
            <w:gridSpan w:val="2"/>
            <w:tcBorders>
              <w:top w:val="single" w:sz="4" w:space="0" w:color="CCCCCC"/>
              <w:left w:val="single" w:sz="4" w:space="0" w:color="CCCCCC"/>
              <w:bottom w:val="single" w:sz="12" w:space="0" w:color="1F3864"/>
              <w:right w:val="single" w:sz="4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4"/>
                <w:szCs w:val="24"/>
              </w:rPr>
              <w:t>Harriet</w:t>
            </w:r>
            <w:r>
              <w:rPr>
                <w:color w:val="555555"/>
                <w:sz w:val="20"/>
                <w:szCs w:val="20"/>
              </w:rPr>
              <w:t xml:space="preserve">   —   UX Design, Information Architecture &amp; Frontend Build</w:t>
            </w:r>
          </w:p>
        </w:tc>
      </w:tr>
      <w:tr>
        <w:trPr/>
        <w:tc>
          <w:tcPr>
            <w:tcW w:w="52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auto" w:val="clear"/>
          </w:tcPr>
          <w:p>
            <w:pPr>
              <w:pStyle w:val="Normal"/>
              <w:spacing w:before="0" w:after="60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Responsibilities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sz w:val="21"/>
                <w:szCs w:val="21"/>
              </w:rPr>
              <w:t>Map the reporting flow end-to-end: Anonymous Report → optional evidence upload → optional location → submission → reference number issued.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sz w:val="21"/>
                <w:szCs w:val="21"/>
              </w:rPr>
              <w:t>Design the Emergency SOS interaction, including the quick-exit behaviour and a silent-trigger option that leaves no visible confirmation.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sz w:val="21"/>
                <w:szCs w:val="21"/>
              </w:rPr>
              <w:t>Design the consent screens for GPS capture — must clearly separate 'where this happened' from 'where I am now', and make opting out easy and equally functional.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sz w:val="21"/>
                <w:szCs w:val="21"/>
              </w:rPr>
              <w:t>Design the case status lookup flow (enter reference number, see status, no login required).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sz w:val="21"/>
                <w:szCs w:val="21"/>
              </w:rPr>
              <w:t>Build the reporting, SOS, and status-lookup pages in code, in both English and Chichewa, working directly from the design system.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sz w:val="21"/>
                <w:szCs w:val="21"/>
              </w:rPr>
              <w:t>Coordinate with Teekay/Wanangwa on what each form field needs to send to the API.</w:t>
            </w:r>
          </w:p>
        </w:tc>
        <w:tc>
          <w:tcPr>
            <w:tcW w:w="52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auto" w:val="clear"/>
          </w:tcPr>
          <w:p>
            <w:pPr>
              <w:pStyle w:val="Normal"/>
              <w:spacing w:before="0" w:after="60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Deliverables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sz w:val="21"/>
                <w:szCs w:val="21"/>
              </w:rPr>
              <w:t>Reporting &amp; SOS flow diagrams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sz w:val="21"/>
                <w:szCs w:val="21"/>
              </w:rPr>
              <w:t>Bilingual reporting, SOS, and status-lookup pages (built)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sz w:val="21"/>
                <w:szCs w:val="21"/>
              </w:rPr>
              <w:t>GPS consent screen designs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sz w:val="21"/>
                <w:szCs w:val="21"/>
              </w:rPr>
              <w:t>Reference-number lookup UI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tbl>
      <w:tblPr>
        <w:tblW w:w="5000" w:type="pct"/>
        <w:jc w:val="left"/>
        <w:tblInd w:w="0" w:type="dxa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5219"/>
        <w:gridCol w:w="5220"/>
      </w:tblGrid>
      <w:tr>
        <w:trPr/>
        <w:tc>
          <w:tcPr>
            <w:tcW w:w="10439" w:type="dxa"/>
            <w:gridSpan w:val="2"/>
            <w:tcBorders>
              <w:top w:val="single" w:sz="4" w:space="0" w:color="CCCCCC"/>
              <w:left w:val="single" w:sz="4" w:space="0" w:color="CCCCCC"/>
              <w:bottom w:val="single" w:sz="12" w:space="0" w:color="1F3864"/>
              <w:right w:val="single" w:sz="4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4"/>
                <w:szCs w:val="24"/>
              </w:rPr>
              <w:t>Hajeerah</w:t>
            </w:r>
            <w:r>
              <w:rPr>
                <w:color w:val="555555"/>
                <w:sz w:val="20"/>
                <w:szCs w:val="20"/>
              </w:rPr>
              <w:t xml:space="preserve">   —   Visual Design, Design System &amp; Frontend Build</w:t>
            </w:r>
          </w:p>
        </w:tc>
      </w:tr>
      <w:tr>
        <w:trPr/>
        <w:tc>
          <w:tcPr>
            <w:tcW w:w="52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auto" w:val="clear"/>
          </w:tcPr>
          <w:p>
            <w:pPr>
              <w:pStyle w:val="Normal"/>
              <w:spacing w:before="0" w:after="60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Responsibilities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sz w:val="21"/>
                <w:szCs w:val="21"/>
              </w:rPr>
              <w:t>Design and build the Ministry Dashboard (case queue, filters, status updates, assignment) and the Analytics Dashboard (charts, response-time metrics).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sz w:val="21"/>
                <w:szCs w:val="21"/>
              </w:rPr>
              <w:t>Design and build the Heatmap visualization — district/ward-level aggregation only, with the minimum-count suppression rule applied before anything renders.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sz w:val="21"/>
                <w:szCs w:val="21"/>
              </w:rPr>
              <w:t>Maintain the design system (colours, type, components, icon set) across both the public reporting site and the internal dashboards, including a distinct high-contrast SOS button treatment.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sz w:val="21"/>
                <w:szCs w:val="21"/>
              </w:rPr>
              <w:t>Build the evidence upload component (drag-and-drop, progress state, file-type validation) in both languages.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sz w:val="21"/>
                <w:szCs w:val="21"/>
              </w:rPr>
              <w:t>Ensure every dashboard and public page meets WCAG AA contrast, and works with keyboard navigation only.</w:t>
            </w:r>
          </w:p>
        </w:tc>
        <w:tc>
          <w:tcPr>
            <w:tcW w:w="52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auto" w:val="clear"/>
          </w:tcPr>
          <w:p>
            <w:pPr>
              <w:pStyle w:val="Normal"/>
              <w:spacing w:before="0" w:after="60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Deliverables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sz w:val="21"/>
                <w:szCs w:val="21"/>
              </w:rPr>
              <w:t>Ministry &amp; Analytics Dashboard (built)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sz w:val="21"/>
                <w:szCs w:val="21"/>
              </w:rPr>
              <w:t>Heatmap component (built, aggregated data only)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sz w:val="21"/>
                <w:szCs w:val="21"/>
              </w:rPr>
              <w:t>Design system file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sz w:val="21"/>
                <w:szCs w:val="21"/>
              </w:rPr>
              <w:t>Evidence upload component (built)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2"/>
        <w:spacing w:before="280" w:after="120"/>
        <w:rPr/>
      </w:pPr>
      <w:r>
        <w:rPr>
          <w:b/>
          <w:bCs/>
          <w:color w:val="1F3864"/>
          <w:sz w:val="24"/>
          <w:szCs w:val="24"/>
        </w:rPr>
        <w:t>2. Database &amp; Geospatial Schema</w:t>
      </w:r>
    </w:p>
    <w:tbl>
      <w:tblPr>
        <w:tblW w:w="5000" w:type="pct"/>
        <w:jc w:val="left"/>
        <w:tblInd w:w="0" w:type="dxa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5219"/>
        <w:gridCol w:w="5220"/>
      </w:tblGrid>
      <w:tr>
        <w:trPr/>
        <w:tc>
          <w:tcPr>
            <w:tcW w:w="10439" w:type="dxa"/>
            <w:gridSpan w:val="2"/>
            <w:tcBorders>
              <w:top w:val="single" w:sz="4" w:space="0" w:color="CCCCCC"/>
              <w:left w:val="single" w:sz="4" w:space="0" w:color="CCCCCC"/>
              <w:bottom w:val="single" w:sz="12" w:space="0" w:color="1F3864"/>
              <w:right w:val="single" w:sz="4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4"/>
                <w:szCs w:val="24"/>
              </w:rPr>
              <w:t>Alicekay</w:t>
            </w:r>
            <w:r>
              <w:rPr>
                <w:color w:val="555555"/>
                <w:sz w:val="20"/>
                <w:szCs w:val="20"/>
              </w:rPr>
              <w:t xml:space="preserve">   —   Database Architecture, Geospatial &amp; Evidence Schema</w:t>
            </w:r>
          </w:p>
        </w:tc>
      </w:tr>
      <w:tr>
        <w:trPr/>
        <w:tc>
          <w:tcPr>
            <w:tcW w:w="52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auto" w:val="clear"/>
          </w:tcPr>
          <w:p>
            <w:pPr>
              <w:pStyle w:val="Normal"/>
              <w:spacing w:before="0" w:after="60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Responsibilities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sz w:val="21"/>
                <w:szCs w:val="21"/>
              </w:rPr>
              <w:t>Design core tables: Reports, Users/Roles, Districts, Stations, Evidence, Notifications, CaseStatusHistory.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sz w:val="21"/>
                <w:szCs w:val="21"/>
              </w:rPr>
              <w:t>Design the geospatial schema for police/district station locations and coverage areas (PostGIS-compatible), to support nearest-station queries.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sz w:val="21"/>
                <w:szCs w:val="21"/>
              </w:rPr>
              <w:t>Design the evidence metadata schema — file references, upload timestamp, access log, chain-of-custody fields — separate from the encrypted file storage itself.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sz w:val="21"/>
                <w:szCs w:val="21"/>
              </w:rPr>
              <w:t>Generate non-sequential, non-guessable reference numbers at the schema level.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sz w:val="21"/>
                <w:szCs w:val="21"/>
              </w:rPr>
              <w:t>Define the case status state machine (submitted → under review → assigned → resolved) as a constrained field, not free text.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sz w:val="21"/>
                <w:szCs w:val="21"/>
              </w:rPr>
              <w:t>Review schema with Teekay and Wanangwa before backend implementation begins.</w:t>
            </w:r>
          </w:p>
        </w:tc>
        <w:tc>
          <w:tcPr>
            <w:tcW w:w="52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auto" w:val="clear"/>
          </w:tcPr>
          <w:p>
            <w:pPr>
              <w:pStyle w:val="Normal"/>
              <w:spacing w:before="0" w:after="60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Deliverables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sz w:val="21"/>
                <w:szCs w:val="21"/>
              </w:rPr>
              <w:t>ER Diagram (incl. geospatial + evidence tables)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sz w:val="21"/>
                <w:szCs w:val="21"/>
              </w:rPr>
              <w:t>SQL migration scripts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sz w:val="21"/>
                <w:szCs w:val="21"/>
              </w:rPr>
              <w:t>Reference-number generation logic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sz w:val="21"/>
                <w:szCs w:val="21"/>
              </w:rPr>
              <w:t>Signed-off schema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2"/>
        <w:spacing w:before="280" w:after="120"/>
        <w:rPr/>
      </w:pPr>
      <w:r>
        <w:rPr>
          <w:b/>
          <w:bCs/>
          <w:color w:val="1F3864"/>
          <w:sz w:val="24"/>
          <w:szCs w:val="24"/>
        </w:rPr>
        <w:t>3. Backend Development</w:t>
      </w:r>
    </w:p>
    <w:tbl>
      <w:tblPr>
        <w:tblW w:w="5000" w:type="pct"/>
        <w:jc w:val="left"/>
        <w:tblInd w:w="0" w:type="dxa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5219"/>
        <w:gridCol w:w="5220"/>
      </w:tblGrid>
      <w:tr>
        <w:trPr/>
        <w:tc>
          <w:tcPr>
            <w:tcW w:w="10439" w:type="dxa"/>
            <w:gridSpan w:val="2"/>
            <w:tcBorders>
              <w:top w:val="single" w:sz="4" w:space="0" w:color="CCCCCC"/>
              <w:left w:val="single" w:sz="4" w:space="0" w:color="CCCCCC"/>
              <w:bottom w:val="single" w:sz="12" w:space="0" w:color="1F3864"/>
              <w:right w:val="single" w:sz="4" w:space="0" w:color="CCCCCC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4"/>
                <w:szCs w:val="24"/>
              </w:rPr>
              <w:t>Wanangwa + Teekay</w:t>
            </w:r>
            <w:r>
              <w:rPr>
                <w:color w:val="555555"/>
                <w:sz w:val="20"/>
                <w:szCs w:val="20"/>
              </w:rPr>
              <w:t xml:space="preserve">   —   APIs, Geospatial Routing, Evidence Handling &amp; Security</w:t>
            </w:r>
          </w:p>
        </w:tc>
      </w:tr>
      <w:tr>
        <w:trPr/>
        <w:tc>
          <w:tcPr>
            <w:tcW w:w="52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auto" w:val="clear"/>
          </w:tcPr>
          <w:p>
            <w:pPr>
              <w:pStyle w:val="Normal"/>
              <w:spacing w:before="0" w:after="60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Responsibilities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sz w:val="21"/>
                <w:szCs w:val="21"/>
              </w:rPr>
              <w:t>Reporting API: accept anonymous submissions, generate reference numbers, store consented location data separately from incident location.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sz w:val="21"/>
                <w:szCs w:val="21"/>
              </w:rPr>
              <w:t>Nearest-station routing: geospatial nearest-neighbor query against the station database for Emergency SOS; district-based routing as the fallback when location isn't shared.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sz w:val="21"/>
                <w:szCs w:val="21"/>
              </w:rPr>
              <w:t>Evidence API: encrypted upload and storage, EXIF/GPS metadata stripped from files before any internal or public display, virus/malware scanning on upload, full access logging.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sz w:val="21"/>
                <w:szCs w:val="21"/>
              </w:rPr>
              <w:t>Case management API: status transitions, office assignment, dashboard data for ministry staff.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sz w:val="21"/>
                <w:szCs w:val="21"/>
              </w:rPr>
              <w:t>SMS/Email notification integration (e.g. an SMS gateway serving Malawi) — messages limited to reference number and status word only.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sz w:val="21"/>
                <w:szCs w:val="21"/>
              </w:rPr>
              <w:t>Analytics/heatmap aggregation endpoint — must apply district/ward-level rounding and minimum-count suppression server-side, before data ever reaches the frontend.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sz w:val="21"/>
                <w:szCs w:val="21"/>
              </w:rPr>
              <w:t>Security &amp; Privacy: encrypt sensitive data at rest, role-based access to raw reports and evidence, data retention policy, audit logging on every access to a case.</w:t>
            </w:r>
          </w:p>
        </w:tc>
        <w:tc>
          <w:tcPr>
            <w:tcW w:w="52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auto" w:val="clear"/>
          </w:tcPr>
          <w:p>
            <w:pPr>
              <w:pStyle w:val="Normal"/>
              <w:spacing w:before="0" w:after="60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Deliverables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sz w:val="21"/>
                <w:szCs w:val="21"/>
              </w:rPr>
              <w:t>Documented REST API set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sz w:val="21"/>
                <w:szCs w:val="21"/>
              </w:rPr>
              <w:t>Geospatial routing service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sz w:val="21"/>
                <w:szCs w:val="21"/>
              </w:rPr>
              <w:t>Encrypted evidence storage pipeline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sz w:val="21"/>
                <w:szCs w:val="21"/>
              </w:rPr>
              <w:t>SMS/Email notification service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sz w:val="21"/>
                <w:szCs w:val="21"/>
              </w:rPr>
              <w:t>Security &amp; access-control policy doc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2"/>
        <w:spacing w:before="280" w:after="120"/>
        <w:rPr/>
      </w:pPr>
      <w:r>
        <w:rPr>
          <w:b/>
          <w:bCs/>
          <w:color w:val="1F3864"/>
          <w:sz w:val="24"/>
          <w:szCs w:val="24"/>
        </w:rPr>
        <w:t>4. Integration &amp; Testing (Everyone)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1"/>
          <w:szCs w:val="21"/>
        </w:rPr>
        <w:t>Connect frontend to backend APIs across reporting, SOS, dashboard, and analytics.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1"/>
          <w:szCs w:val="21"/>
        </w:rPr>
        <w:t>Verify GPS consent flow behaves correctly when location is allowed, denied, or unavailable.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1"/>
          <w:szCs w:val="21"/>
        </w:rPr>
        <w:t>Verify EXIF/GPS metadata is actually stripped from uploaded evidence before display.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1"/>
          <w:szCs w:val="21"/>
        </w:rPr>
        <w:t>Verify heatmap suppression rule holds — no cluster below the minimum count should ever render.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1"/>
          <w:szCs w:val="21"/>
        </w:rPr>
        <w:t>Test nearest-station routing against known coordinates for accuracy.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1"/>
          <w:szCs w:val="21"/>
        </w:rPr>
        <w:t>Verify SMS/email notifications never leak case details.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1"/>
          <w:szCs w:val="21"/>
        </w:rPr>
        <w:t>Full bilingual pass — every form, button, and notification checked in both English and Chichewa.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1"/>
          <w:szCs w:val="21"/>
        </w:rPr>
        <w:t>Mobile responsiveness testing, since most reporters will use phones.</w:t>
      </w:r>
    </w:p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280" w:after="120"/>
        <w:rPr/>
      </w:pPr>
      <w:r>
        <w:rPr>
          <w:b/>
          <w:bCs/>
          <w:color w:val="1F3864"/>
          <w:sz w:val="24"/>
          <w:szCs w:val="24"/>
        </w:rPr>
        <w:t>5. Deployment (Everyone)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1"/>
          <w:szCs w:val="21"/>
        </w:rPr>
        <w:t>Deploy with SSL/encryption enforced end-to-end.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1"/>
          <w:szCs w:val="21"/>
        </w:rPr>
        <w:t>Set up encrypted backups for the database and evidence storage.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1"/>
          <w:szCs w:val="21"/>
        </w:rPr>
        <w:t>Confirm SMS gateway and email delivery work in production.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1"/>
          <w:szCs w:val="21"/>
        </w:rPr>
        <w:t>Final acceptance testing with the ministry, including district office staff.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1"/>
          <w:szCs w:val="21"/>
        </w:rPr>
        <w:t>Train ministry and district office staff on the case management dashboard.</w:t>
      </w:r>
    </w:p>
    <w:p>
      <w:pPr>
        <w:pStyle w:val="Normal"/>
        <w:spacing w:before="300" w:after="0"/>
        <w:rPr/>
      </w:pPr>
      <w:r>
        <w:rPr/>
      </w:r>
    </w:p>
    <w:sectPr>
      <w:type w:val="nextPage"/>
      <w:pgSz w:w="12240" w:h="15840"/>
      <w:pgMar w:left="900" w:right="900" w:header="0" w:top="900" w:footer="0" w:bottom="900" w:gutter="0"/>
      <w:pgNumType w:fmt="decimal"/>
      <w:formProt w:val="false"/>
      <w:textDirection w:val="lrTb"/>
      <w:docGrid w:type="default" w:linePitch="360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ind w:left="3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5"/>
  <w:defaultTabStop w:val="72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1"/>
        <w:szCs w:val="21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Calibri" w:hAnsi="Calibri" w:eastAsia="Calibri" w:cs="Calibri"/>
      <w:color w:val="auto"/>
      <w:kern w:val="0"/>
      <w:sz w:val="21"/>
      <w:szCs w:val="21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Internet 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jc w:val="left"/>
    </w:pPr>
    <w:rPr>
      <w:rFonts w:ascii="Calibri" w:hAnsi="Calibri" w:eastAsia="Calibri" w:cs="Calibri"/>
      <w:b/>
      <w:bCs/>
      <w:color w:val="auto"/>
      <w:kern w:val="0"/>
      <w:sz w:val="21"/>
      <w:szCs w:val="21"/>
      <w:lang w:val="en-US" w:eastAsia="zh-CN" w:bidi="hi-IN"/>
    </w:rPr>
  </w:style>
  <w:style w:type="paragraph" w:styleId="ListParagraph">
    <w:name w:val="List Paragraph"/>
    <w:qFormat/>
    <w:pPr>
      <w:widowControl/>
      <w:bidi w:val="0"/>
      <w:jc w:val="left"/>
    </w:pPr>
    <w:rPr>
      <w:rFonts w:ascii="Calibri" w:hAnsi="Calibri" w:eastAsia="Calibri" w:cs="Calibri"/>
      <w:color w:val="auto"/>
      <w:kern w:val="0"/>
      <w:sz w:val="21"/>
      <w:szCs w:val="21"/>
      <w:lang w:val="en-US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Neat_Office/6.2.8.2$Windows_x86 LibreOffice_project/</Application>
  <Pages>4</Pages>
  <Words>1006</Words>
  <Characters>6171</Characters>
  <CharactersWithSpaces>7058</CharactersWithSpaces>
  <Paragraphs>111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2026-07-15T20:35:06Z</dcterms:created>
  <dc:creator>Un-named</dc:creator>
  <dc:description/>
  <dc:language>en-US</dc:language>
  <cp:lastModifiedBy/>
  <dcterms:modified xsi:type="dcterms:W3CDTF">2026-07-15T22:52:26Z</dcterms:modified>
  <cp:revision>2</cp:revision>
  <dc:subject/>
  <dc:title/>
</cp:coreProperties>
</file>