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4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FDC65" w14:textId="77777777" w:rsidR="002B6D2D" w:rsidRDefault="002B6D2D" w:rsidP="002B6D2D">
      <w:pPr>
        <w:spacing w:before="90" w:line="276" w:lineRule="auto"/>
        <w:ind w:right="2"/>
        <w:jc w:val="center"/>
        <w:rPr>
          <w:b/>
          <w:sz w:val="54"/>
          <w:szCs w:val="54"/>
        </w:rPr>
      </w:pPr>
      <w:r>
        <w:rPr>
          <w:b/>
          <w:sz w:val="54"/>
          <w:szCs w:val="54"/>
        </w:rPr>
        <w:t>UNIWERSYTET KAZIMIERZA WIELKIEGO W BYDGOSZCZY</w:t>
      </w:r>
    </w:p>
    <w:p w14:paraId="06570A54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5433E0C0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65421458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331351B5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jc w:val="center"/>
        <w:rPr>
          <w:b/>
          <w:color w:val="000000"/>
          <w:sz w:val="14"/>
          <w:szCs w:val="14"/>
        </w:rPr>
      </w:pPr>
      <w:r>
        <w:rPr>
          <w:noProof/>
        </w:rPr>
        <w:drawing>
          <wp:inline distT="0" distB="0" distL="0" distR="0" wp14:anchorId="3DF57AC9" wp14:editId="0D743A4E">
            <wp:extent cx="2590563" cy="2476880"/>
            <wp:effectExtent l="0" t="0" r="635" b="0"/>
            <wp:docPr id="45" name="image47.jpg" descr="http://www.krasp.org.pl/pliki/dc5191684e9e8a26bf07e1badd456e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 descr="http://www.krasp.org.pl/pliki/dc5191684e9e8a26bf07e1badd456e5c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563" cy="2476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24926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6"/>
        <w:ind w:right="2"/>
        <w:rPr>
          <w:b/>
          <w:color w:val="000000"/>
          <w:sz w:val="69"/>
          <w:szCs w:val="69"/>
        </w:rPr>
      </w:pPr>
    </w:p>
    <w:p w14:paraId="2F2CF9B8" w14:textId="7D0A0C94" w:rsidR="002B6D2D" w:rsidRDefault="002B6D2D" w:rsidP="002B6D2D">
      <w:pPr>
        <w:ind w:right="2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Sprawozdanie Laboratorium </w:t>
      </w:r>
      <w:r w:rsidR="005E5A64">
        <w:rPr>
          <w:b/>
          <w:sz w:val="44"/>
          <w:szCs w:val="44"/>
        </w:rPr>
        <w:t>10</w:t>
      </w:r>
    </w:p>
    <w:p w14:paraId="6B74C32F" w14:textId="77777777" w:rsidR="002B6D2D" w:rsidRDefault="002B6D2D" w:rsidP="002B6D2D">
      <w:pPr>
        <w:ind w:right="2"/>
        <w:jc w:val="center"/>
        <w:rPr>
          <w:b/>
          <w:sz w:val="44"/>
          <w:szCs w:val="44"/>
        </w:rPr>
      </w:pPr>
      <w:r>
        <w:rPr>
          <w:rFonts w:ascii="Times New Roman" w:hAnsi="Times New Roman"/>
          <w:b/>
          <w:color w:val="000000"/>
          <w:sz w:val="33"/>
        </w:rPr>
        <w:t>Zaliczone</w:t>
      </w:r>
    </w:p>
    <w:p w14:paraId="7970DCE1" w14:textId="4B089079" w:rsidR="002B6D2D" w:rsidRDefault="004A6012" w:rsidP="002B6D2D">
      <w:pPr>
        <w:ind w:right="2"/>
        <w:jc w:val="center"/>
        <w:rPr>
          <w:b/>
          <w:sz w:val="40"/>
          <w:szCs w:val="40"/>
        </w:rPr>
      </w:pPr>
      <w:r>
        <w:rPr>
          <w:b/>
          <w:color w:val="4F81BC"/>
          <w:sz w:val="40"/>
          <w:szCs w:val="40"/>
        </w:rPr>
        <w:t xml:space="preserve">Zwinne metodyki zarządzania projektami </w:t>
      </w:r>
    </w:p>
    <w:p w14:paraId="79D698D9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38B2B970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</w:pPr>
    </w:p>
    <w:p w14:paraId="3B80DA39" w14:textId="7DB76258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</w:pPr>
      <w:r>
        <w:rPr>
          <w:rFonts w:ascii="Times New Roman" w:hAnsi="Times New Roman"/>
          <w:b/>
          <w:color w:val="000000"/>
          <w:sz w:val="33"/>
        </w:rPr>
        <w:t>Szymon Przybysz, Iwona Figas</w:t>
        <w:br/>
        <w:t>Jarek Antczak, Emil Kosicki</w:t>
      </w:r>
    </w:p>
    <w:p w14:paraId="5940A30F" w14:textId="3DBE8AA5" w:rsidR="002B6D2D" w:rsidRDefault="00CE3E84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</w:pPr>
      <w:r>
        <w:rPr>
          <w:b/>
          <w:sz w:val="33"/>
          <w:szCs w:val="33"/>
        </w:rPr>
        <w:t>Informatyka</w:t>
      </w:r>
      <w:r w:rsidR="002B6D2D">
        <w:rPr>
          <w:b/>
          <w:sz w:val="33"/>
          <w:szCs w:val="33"/>
        </w:rPr>
        <w:t xml:space="preserve"> </w:t>
      </w:r>
      <w:r>
        <w:rPr>
          <w:b/>
          <w:sz w:val="33"/>
          <w:szCs w:val="33"/>
        </w:rPr>
        <w:t>I</w:t>
      </w:r>
      <w:r w:rsidR="002B6D2D">
        <w:rPr>
          <w:b/>
          <w:sz w:val="33"/>
          <w:szCs w:val="33"/>
        </w:rPr>
        <w:t>I rok</w:t>
      </w:r>
      <w:r w:rsidR="005E5A64">
        <w:rPr>
          <w:b/>
          <w:sz w:val="33"/>
          <w:szCs w:val="33"/>
        </w:rPr>
        <w:t xml:space="preserve"> studia </w:t>
      </w:r>
      <w:r>
        <w:rPr>
          <w:b/>
          <w:sz w:val="33"/>
          <w:szCs w:val="33"/>
        </w:rPr>
        <w:t>stacjonarne</w:t>
      </w:r>
    </w:p>
    <w:p w14:paraId="1FBC54F0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  <w:sectPr w:rsidR="002B6D2D" w:rsidSect="00D34A1C">
          <w:pgSz w:w="11910" w:h="16840"/>
          <w:pgMar w:top="1418" w:right="1418" w:bottom="1418" w:left="1418" w:header="708" w:footer="708" w:gutter="0"/>
          <w:pgNumType w:start="1"/>
          <w:cols w:space="708"/>
        </w:sectPr>
      </w:pPr>
      <w:r>
        <w:rPr>
          <w:rFonts w:ascii="Times New Roman" w:hAnsi="Times New Roman"/>
          <w:b/>
          <w:color w:val="000000"/>
          <w:sz w:val="33"/>
        </w:rPr>
        <w:t>2026/2027</w:t>
      </w:r>
    </w:p>
    <w:p>
      <w:pPr>
        <w:spacing w:after="240"/>
        <w:ind w:firstLine="0"/>
      </w:pPr>
      <w:r>
        <w:rPr>
          <w:rFonts w:ascii="Times New Roman" w:hAnsi="Times New Roman"/>
          <w:b/>
          <w:color w:val="000000"/>
          <w:sz w:val="36"/>
        </w:rPr>
        <w:t>Spis treści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1. Wprowadzenie</w:t>
        <w:tab/>
        <w:t>3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2. Organizacja zespołu projektowego</w:t>
        <w:tab/>
        <w:t>4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3. Planowanie i szacowanie pracy</w:t>
        <w:tab/>
        <w:t>5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4. Dokumentacja techniczna</w:t>
        <w:tab/>
        <w:t>8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5. Implementacja</w:t>
        <w:tab/>
        <w:t>10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6. Testowanie i jakość</w:t>
        <w:tab/>
        <w:t>12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7. Zarządzanie ryzykiem</w:t>
        <w:tab/>
        <w:t>14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8. Dokumentacja użytkowa</w:t>
        <w:tab/>
        <w:t>15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9. Retrospektywa projektu</w:t>
        <w:tab/>
        <w:t>17</w:t>
      </w:r>
    </w:p>
    <w:p>
      <w:pPr>
        <w:widowControl/>
        <w:tabs>
          <w:tab w:pos="8787" w:val="right" w:leader="dot"/>
        </w:tabs>
        <w:spacing w:line="269" w:lineRule="auto" w:after="100"/>
        <w:ind w:firstLine="0"/>
        <w:jc w:val="left"/>
      </w:pPr>
      <w:r>
        <w:rPr>
          <w:rFonts w:ascii="Times New Roman" w:hAnsi="Times New Roman"/>
          <w:color w:val="000000"/>
          <w:sz w:val="23"/>
        </w:rPr>
        <w:t>10. Wnioski i rekomendacje</w:t>
        <w:tab/>
        <w:t>20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Spis ilustracji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1. Widok planera z przykładowymi przedmiotami, zadaniami i terminami</w:t>
        <w:tab/>
        <w:t>3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2. Harmonogram dwóch sprintów i kamienie milowe M1 oraz M2</w:t>
        <w:tab/>
        <w:t>7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3. GitHub Projects z czterema kolumnami odpowiedzialności zespołu</w:t>
        <w:tab/>
        <w:t>7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4. Schemat logiczny przepływu danych w aplikacji</w:t>
        <w:tab/>
        <w:t>8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5. Schemat fizyczny publikacji i lokalnego przechowywania planu</w:t>
        <w:tab/>
        <w:t>9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6. Przepływ pracy od zadania przez branch i PR do publikacji</w:t>
        <w:tab/>
        <w:t>11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7. Poprawnie zakończona kontrola jakości w GitHub Actions</w:t>
        <w:tab/>
        <w:t>12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8. Fragment zgłoszenia 18 z opisem problemów i kryteriami odbioru</w:t>
        <w:tab/>
        <w:t>13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9. Układ mobilny oraz własny formularz dodawania zadania</w:t>
        <w:tab/>
        <w:t>15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10. Własne potwierdzenie chroniące przed przypadkowym usunięciem planu</w:t>
        <w:tab/>
        <w:t>16</w:t>
      </w:r>
    </w:p>
    <w:p>
      <w:pPr>
        <w:widowControl/>
        <w:tabs>
          <w:tab w:pos="8787" w:val="right" w:leader="dot"/>
        </w:tabs>
        <w:spacing w:line="252" w:lineRule="auto" w:after="60"/>
        <w:ind w:firstLine="0"/>
        <w:jc w:val="left"/>
      </w:pPr>
      <w:r>
        <w:rPr>
          <w:rFonts w:ascii="Times New Roman" w:hAnsi="Times New Roman"/>
          <w:color w:val="000000"/>
          <w:sz w:val="20"/>
        </w:rPr>
        <w:t>Rys. 11. Symulacja spalania punktów w dwóch sprintach</w:t>
        <w:tab/>
        <w:t>19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Temat opracowania: Zaliczone, planer nauki i zaliczeń dla studentów. Dokument zachowuje układ dziesięciu rozdziałów i logo z przekazanego wzorca UKW. Notatki spotkań, daty sprintów, estymaty i feedback 360° tworzą scenariusz dydaktyczny pracy czteroosobowego zespołu. Zrzuty pokazują aplikację i materiały projektu.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Wprowadzenie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Cel projektu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Zaliczone jest planerem nauki i zaliczeń dla studentów. Łączy przedmioty, daty egzaminów, kolokwiów i projektów oraz zadania przygotowawcze. Zamiast odtwarzać plan z wiadomości i luźnych notatek, użytkownik otrzymuje jeden przegląd semestru. Celem użytkowym jest szybkie ustalenie najbliższego kroku i czasu pozostałego do zaliczenia.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Zakres projektu i metodyka pracy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MVP obejmuje dodawanie i usuwanie przedmiotów, terminy, zadania, filtrowanie, postęp oraz kopię JSON. Dane są lokalne; produkt nie wymaga konta. Pracę planujemy w Scrumie z tablicą Kanban, w dwóch tygodniowych sprintach. Krótki cykl pozwala najpierw dostarczyć rdzeń planera, a następnie dopracować ochronę danych i wygodę obsługi.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4441445"/>
            <wp:docPr id="46" name="Picture 46" descr="app 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main.png"/>
                    <pic:cNvPicPr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441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1. Widok planera z przykładowymi przedmiotami, zadaniami i terminami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Organizacja zespołu projektowego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Role w projekcie i podział odpowiedzialności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Zespół liczy cztery osoby. Rozdział ról porządkuje decyzje, ale nie wyklucza pomocy przy implementacji i przeglądzie. Iwona ustala wartość i kolejność funkcji, Jarek dba o przebieg sprintu, Szymon o spójność techniczną, a Emil o mierzalny odbiór. Każdy element backlogu ma jednego właściciela odpowiedzialnego za doprowadzenie go do odbioru.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871"/>
        <w:gridCol w:w="2268"/>
        <w:gridCol w:w="4819"/>
      </w:tblGrid>
      <w:tr>
        <w:trPr>
          <w:cantSplit/>
          <w:tblHeader/>
        </w:trPr>
        <w:tc>
          <w:tcPr>
            <w:tcW w:type="dxa" w:w="187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Osoba</w:t>
            </w:r>
          </w:p>
        </w:tc>
        <w:tc>
          <w:tcPr>
            <w:tcW w:type="dxa" w:w="226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Rola</w:t>
            </w:r>
          </w:p>
        </w:tc>
        <w:tc>
          <w:tcPr>
            <w:tcW w:type="dxa" w:w="481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Odpowiedzialność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Szymon Przybysz</w:t>
            </w:r>
          </w:p>
        </w:tc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Deweloper i koordynator techniczny</w:t>
            </w:r>
          </w:p>
        </w:tc>
        <w:tc>
          <w:tcPr>
            <w:tcW w:type="dxa" w:w="481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Model danych, kopie JSON, repozytorium, CI i publikacja Pages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Iwona Figas</w:t>
            </w:r>
          </w:p>
        </w:tc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Product Owner i analityk UX</w:t>
            </w:r>
          </w:p>
        </w:tc>
        <w:tc>
          <w:tcPr>
            <w:tcW w:type="dxa" w:w="481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User Stories, priorytety, formularze, wygląd i instrukcja użytkownika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Jarek Antczak</w:t>
            </w:r>
          </w:p>
        </w:tc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Scrum Master i deweloper</w:t>
            </w:r>
          </w:p>
        </w:tc>
        <w:tc>
          <w:tcPr>
            <w:tcW w:type="dxa" w:w="481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Przepływ zadań, terminy, filtr, harmonogram i raporty sprintów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Emil Kosicki</w:t>
            </w:r>
          </w:p>
        </w:tc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Tester i deweloper</w:t>
            </w:r>
          </w:p>
        </w:tc>
        <w:tc>
          <w:tcPr>
            <w:tcW w:type="dxa" w:w="481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Scenariusze testowe, walidacja, dostępność, rejestr błędów i checklista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Plan komunikacji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268"/>
        <w:gridCol w:w="2551"/>
        <w:gridCol w:w="4139"/>
      </w:tblGrid>
      <w:tr>
        <w:trPr>
          <w:cantSplit/>
          <w:tblHeader/>
        </w:trPr>
        <w:tc>
          <w:tcPr>
            <w:tcW w:type="dxa" w:w="226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Spotkanie</w:t>
            </w:r>
          </w:p>
        </w:tc>
        <w:tc>
          <w:tcPr>
            <w:tcW w:type="dxa" w:w="255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Częstotliwość</w:t>
            </w:r>
          </w:p>
        </w:tc>
        <w:tc>
          <w:tcPr>
            <w:tcW w:type="dxa" w:w="413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Rezultat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Planowanie sprintu</w:t>
            </w:r>
          </w:p>
        </w:tc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Początek iteracji, 45 minut</w:t>
            </w:r>
          </w:p>
        </w:tc>
        <w:tc>
          <w:tcPr>
            <w:tcW w:type="dxa" w:w="413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Cel, zakres, estymaty i zależności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Daily Scrum</w:t>
            </w:r>
          </w:p>
        </w:tc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Dni robocze, 10 minut</w:t>
            </w:r>
          </w:p>
        </w:tc>
        <w:tc>
          <w:tcPr>
            <w:tcW w:type="dxa" w:w="413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 zrobiono, następny krok, blokada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Przegląd sprintu</w:t>
            </w:r>
          </w:p>
        </w:tc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Koniec iteracji, 30 minut</w:t>
            </w:r>
          </w:p>
        </w:tc>
        <w:tc>
          <w:tcPr>
            <w:tcW w:type="dxa" w:w="413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Demonstracja przyrostu i decyzja o odbiorze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Retrospektywa 4Ls</w:t>
            </w:r>
          </w:p>
        </w:tc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 przeglądzie, 25 minut</w:t>
            </w:r>
          </w:p>
        </w:tc>
        <w:tc>
          <w:tcPr>
            <w:tcW w:type="dxa" w:w="413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Jedno lub dwa działania na kolejną iterację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GitHub Issues przechowuje ustalenia i kryteria odbioru, Projects pokazuje bieżący przepływ, a Pull Request łączy zmianę z jej przeglądem. Pilną blokadę zgłaszamy od razu i dopisujemy ją do zadania. Skrócone notatki spotkań oraz wypowiedzi wszystkich osób znajdują się w rozdziale dziewiątym.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Planowanie i szacowanie pracy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Backlog Produktu i priorytety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Backlog opisuje wartość dla studenta. Każdą pozycję rozwijamy do zdania: Jako student chcę wykonać daną czynność, aby uporządkować naukę i zaliczenia. P0 oznacza funkcję konieczną dla MVP, P1 usprawnienie potrzebne w gotowym wydaniu. Punkty porównują złożoność i ryzyko, a nie czas pracy konkretnej osoby.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794"/>
        <w:gridCol w:w="3969"/>
        <w:gridCol w:w="567"/>
        <w:gridCol w:w="510"/>
        <w:gridCol w:w="2041"/>
        <w:gridCol w:w="1077"/>
      </w:tblGrid>
      <w:tr>
        <w:trPr>
          <w:cantSplit/>
          <w:tblHeader/>
        </w:trPr>
        <w:tc>
          <w:tcPr>
            <w:tcW w:type="dxa" w:w="794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396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Potrzeba użytkownika</w:t>
            </w:r>
          </w:p>
        </w:tc>
        <w:tc>
          <w:tcPr>
            <w:tcW w:type="dxa" w:w="567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Pr.</w:t>
            </w:r>
          </w:p>
        </w:tc>
        <w:tc>
          <w:tcPr>
            <w:tcW w:type="dxa" w:w="510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SP</w:t>
            </w:r>
          </w:p>
        </w:tc>
        <w:tc>
          <w:tcPr>
            <w:tcW w:type="dxa" w:w="204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Właściciel</w:t>
            </w:r>
          </w:p>
        </w:tc>
        <w:tc>
          <w:tcPr>
            <w:tcW w:type="dxa" w:w="1077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Sprint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US-01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Dodać przedmiot i nadać mu kolor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Iwona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US-02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Zapisać egzamin, kolokwium lub projekt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Jarek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US-03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Rozbić przygotowanie na zadania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Iwona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US-04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Oznaczać kroki i obserwować postęp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Emil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US-05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Filtrować plan po przedmiocie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Jarek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US-06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Zachować plan po ponownym otwarciu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Szymon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US-07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Pobrać kopię planu do pliku JSON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Szymon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US-08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Odtworzyć plan z poprawnej kopii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Szymon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US-09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Widzieć najbliższy termin i liczbę dni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Jarek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US-10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Poznać aplikację na danych przykładowych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Iwona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US-11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Korzystać z planera na telefonie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Iwona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US-12</w:t>
            </w:r>
          </w:p>
        </w:tc>
        <w:tc>
          <w:tcPr>
            <w:tcW w:type="dxa" w:w="39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Zrozumieć obsługę dzięki pomocy i FAQ</w:t>
            </w:r>
          </w:p>
        </w:tc>
        <w:tc>
          <w:tcPr>
            <w:tcW w:type="dxa" w:w="56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1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Emil</w:t>
            </w:r>
          </w:p>
        </w:tc>
        <w:tc>
          <w:tcPr>
            <w:tcW w:type="dxa" w:w="107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Kryteria akceptacji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Przedmiot musi mieć niepustą nazwę i kolor, a zadanie oraz termin muszą wskazywać istniejący przedmiot. Po zapisaniu wpis pojawia się w odpowiedniej liście. Oznaczenie zadania przelicza postęp. Filtr ogranicza widoczne zadania i terminy. Zapis przetrwa ponowne otwarcie strony, a błędny import nie zastąpi poprawnego planu.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Przykład US-08: mając własny plan i poprawną kopię JSON, po wyborze Przywróć kopię widzę potwierdzenie zastąpienia. Dopiero zatwierdzenie wczytuje dane. Anulowanie pozostawia poprzedni plan. Niepoprawna wersja, błędna relacja lub niemożliwa data wywołują komunikat i nie zmieniają danych.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Techniki szacowania i plan sprintów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Planning Poker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Stosujemy skalę 1, 2, 3, 5 i 8 SP. Iwona wyjaśnia potrzebę oraz kryteria, każdy proponuje ocenę, a osoby z najniższą i najwyższą wartością uzasadniają rozbieżności. Po doprecyzowaniu zakresu powtarzamy głosowanie. Element większy niż 8 SP dzielimy przed rozpoczęciem realizacji. Estymaty w tym sprawozdaniu są częścią scenariusza ćwiczenia.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268"/>
        <w:gridCol w:w="1814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Element</w:t>
            </w:r>
          </w:p>
        </w:tc>
        <w:tc>
          <w:tcPr>
            <w:tcW w:type="dxa" w:w="1814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Pierwsze oceny</w:t>
            </w:r>
          </w:p>
        </w:tc>
        <w:tc>
          <w:tcPr>
            <w:tcW w:type="dxa" w:w="4876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Uzgodnienie i powód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US-02 Terminy</w:t>
            </w:r>
          </w:p>
        </w:tc>
        <w:tc>
          <w:tcPr>
            <w:tcW w:type="dxa" w:w="1814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3, 5, 5, 5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 SP: walidacja daty, relacja do przedmiotu i sortowanie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US-08 Import kopii</w:t>
            </w:r>
          </w:p>
        </w:tc>
        <w:tc>
          <w:tcPr>
            <w:tcW w:type="dxa" w:w="1814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3, 5, 8, 5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 SP po odłożeniu łączenia dwóch planów; import zastępuje całość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US-11 Telefon</w:t>
            </w:r>
          </w:p>
        </w:tc>
        <w:tc>
          <w:tcPr>
            <w:tcW w:type="dxa" w:w="1814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3, 5, 5, 8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5 SP: jeden układ responsywny i kontrola klawiatury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Sprinty i cele iteracji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2551"/>
        <w:gridCol w:w="4422"/>
      </w:tblGrid>
      <w:tr>
        <w:trPr>
          <w:cantSplit/>
          <w:tblHeader/>
        </w:trPr>
        <w:tc>
          <w:tcPr>
            <w:tcW w:type="dxa" w:w="1984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Sprint</w:t>
            </w:r>
          </w:p>
        </w:tc>
        <w:tc>
          <w:tcPr>
            <w:tcW w:type="dxa" w:w="255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Cel</w:t>
            </w:r>
          </w:p>
        </w:tc>
        <w:tc>
          <w:tcPr>
            <w:tcW w:type="dxa" w:w="4422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Zakres i pojemność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  <w:br/>
              <w:t>26.10–01.11.2026</w:t>
            </w:r>
          </w:p>
        </w:tc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Plan ma strukturę i najbliższe kroki</w:t>
            </w:r>
          </w:p>
        </w:tc>
        <w:tc>
          <w:tcPr>
            <w:tcW w:type="dxa" w:w="442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US-01–06 oraz US-09; 27 SP. Przedmioty, zadania, terminy, filtr, postęp i lokalny zapis.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  <w:br/>
              <w:t>02.11–08.11.2026</w:t>
            </w:r>
          </w:p>
        </w:tc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Gotowy planer z kopią i wygodną obsługą</w:t>
            </w:r>
          </w:p>
        </w:tc>
        <w:tc>
          <w:tcPr>
            <w:tcW w:type="dxa" w:w="442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US-07, US-08, US-10–12; 19 SP. Import i eksport, demo, telefon, pomoc, testy i publikacja.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Definition of Ready i Definition of Done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Ready oznacza opis wartości, mierzalne kryteria, priorytet, właściciela, estymatę i rozwiązane zależności. Done oznacza spełnione kryteria, sprawdzenie adekwatne do zmiany, przegląd PR, zielone CI i aktualną dokumentację. Kod trafia do main wyłącznie przez PR. Zmiana terminu lub zakresu jest decyzją całego zespołu zapisaną w Issue.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Limit WIP wynosi cztery zadania w implementacji i dwa w odbiorze. Gdy limit jest osiągnięty, pomagamy domknąć rozpoczęte elementy. Nie rozpoczynamy kolejnej funkcji tylko po to, żeby każda osoba miała nowe zadanie. Synchronizacja kont, powiadomienia i integracja uczelniana pozostają poza MVP.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Harmonogram Gantta i tablica pracy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Gantt pokazuje zależności i kamienie milowe dwóch iteracji. Nie zastępuje tablicy dziennej: po przeglądzie aktualizujemy zakres kolejnego sprintu. M1 oznacza demonstrację działającego rdzenia, a M2 końcowy odbiór planera, kopii danych i dokumentacji.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8600"/>
            <wp:docPr id="47" name="Picture 47" descr="gant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2. Harmonogram dwóch sprintów i kamienie milowe M1 oraz M2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Kanban i widok zespołu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Kanban ma kolumny Todo, In Progress i Done. Pole Etap pracy doprecyzowuje Backlog, Ready, implementację oraz Review/Test. Widok Zespół grupuje zadania według planowanego właściciela, dzięki czemu widać odpowiedzialność wszystkich czterech osób. Przypisanie kont GitHub jest odrębnym ustawieniem dostępu.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23686"/>
            <wp:docPr id="48" name="Picture 48" descr="team 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-board.png"/>
                    <pic:cNvPicPr/>
                  </pic:nvPicPr>
                  <pic:blipFill>
                    <a:blip r:embed="rId11"/>
                    <a:srcRect l="581" t="9053" r="56831" b="374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2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3. GitHub Projects z czterema kolumnami odpowiedzialności zespołu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Podczas Daily Jarek sprawdza blokady i WIP, Iwona priorytety, Emil kolejkę odbioru, a Szymon zależności techniczne. Stan zadania zmieniamy po wykonaniu działania, a nie dopiero przed oddaniem projektu.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Dokumentacja techniczna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Schemat logiczny aplikacji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Aplikacja działa w przeglądarce jako pojedynczy frontend. Formularz przekazuje dane do stanu PlannerData, z którego powstają listy, filtr i podsumowanie. Zmiana stanu jest zapisywana w localStorage. Import przechodzi walidację całego pliku przed zmianą planu; eksport zapisuje ten sam model do JSON.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49" name="Picture 49" descr="logic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.png"/>
                    <pic:cNvPicPr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4. Schemat logiczny przepływu danych w aplikacji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Model danych i powiązania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87"/>
        <w:gridCol w:w="3061"/>
        <w:gridCol w:w="4309"/>
      </w:tblGrid>
      <w:tr>
        <w:trPr>
          <w:cantSplit/>
          <w:tblHeader/>
        </w:trPr>
        <w:tc>
          <w:tcPr>
            <w:tcW w:type="dxa" w:w="1587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Encja</w:t>
            </w:r>
          </w:p>
        </w:tc>
        <w:tc>
          <w:tcPr>
            <w:tcW w:type="dxa" w:w="306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Pola</w:t>
            </w:r>
          </w:p>
        </w:tc>
        <w:tc>
          <w:tcPr>
            <w:tcW w:type="dxa" w:w="430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Reguła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Subject</w:t>
            </w:r>
          </w:p>
        </w:tc>
        <w:tc>
          <w:tcPr>
            <w:tcW w:type="dxa" w:w="306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id, name, color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Unikalne id i niepusta nazwa przedmiotu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Exam</w:t>
            </w:r>
          </w:p>
        </w:tc>
        <w:tc>
          <w:tcPr>
            <w:tcW w:type="dxa" w:w="306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id, subjectId, title, date, type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Istniejący przedmiot; poprawna data; Egzamin, Kolokwium lub Projekt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StudyTask</w:t>
            </w:r>
          </w:p>
        </w:tc>
        <w:tc>
          <w:tcPr>
            <w:tcW w:type="dxa" w:w="306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id, subjectId, title, dueDate, done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Istniejący przedmiot; data; done jako wartość logiczna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PlannerData</w:t>
            </w:r>
          </w:p>
        </w:tc>
        <w:tc>
          <w:tcPr>
            <w:tcW w:type="dxa" w:w="306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version, subjects, exams, tasks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Wersja 1; identyfikatory i relacje sprawdzane przed odtworzeniem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Relacja Subject do Exam i StudyTask ma postać jeden do wielu. Usunięcie przedmiotu po potwierdzeniu usuwa także jego terminy i zadania. Nie przechowujemy pól zależnych, takich jak procent postępu; wynik jest obliczany z aktualnej listy zadań. Zapobiega to rozjazdowi licznika i faktycznego planu.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Schemat fizyczny i komponenty aplikacji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Kod źródłowy znajduje się w GitHub. Pull Request uruchamia testy i kompilację; po scaleniu workflow publikuje katalog dist w Pages. Przeglądarka pobiera statyczne pliki HTML, CSS i JavaScript. Dane planera nie trafiają do repozytorium ani hostingu. Plik JSON użytkownik przenosi samodzielnie.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50" name="Picture 50" descr="physic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al.png"/>
                    <pic:cNvPicPr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5. Schemat fizyczny publikacji i lokalnego przechowywania planu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Opis funkcji i komponentów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551"/>
        <w:gridCol w:w="6406"/>
      </w:tblGrid>
      <w:tr>
        <w:trPr>
          <w:cantSplit/>
          <w:tblHeader/>
        </w:trPr>
        <w:tc>
          <w:tcPr>
            <w:tcW w:type="dxa" w:w="255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Moduł</w:t>
            </w:r>
          </w:p>
        </w:tc>
        <w:tc>
          <w:tcPr>
            <w:tcW w:type="dxa" w:w="6406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Odpowiedzialność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App.tsx</w:t>
            </w:r>
          </w:p>
        </w:tc>
        <w:tc>
          <w:tcPr>
            <w:tcW w:type="dxa" w:w="64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Stan aplikacji, dodawanie wpisów, filtr, podsumowanie i operacje na planie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TaskRow i ExamRow</w:t>
            </w:r>
          </w:p>
        </w:tc>
        <w:tc>
          <w:tcPr>
            <w:tcW w:type="dxa" w:w="64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Lista kroków, oznaczanie wykonania i czytelne daty zaliczeń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i ConfirmDialog</w:t>
            </w:r>
          </w:p>
        </w:tc>
        <w:tc>
          <w:tcPr>
            <w:tcW w:type="dxa" w:w="64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Własne formularze i potwierdzenia; fokus, Tab, Escape i nieaktywne tło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types.ts</w:t>
            </w:r>
          </w:p>
        </w:tc>
        <w:tc>
          <w:tcPr>
            <w:tcW w:type="dxa" w:w="64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Typy domenowe, odczyt localStorage i walidacja kopii JSON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dates.ts</w:t>
            </w:r>
          </w:p>
        </w:tc>
        <w:tc>
          <w:tcPr>
            <w:tcW w:type="dxa" w:w="64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Porównywanie dat kalendarzowych niezależnie od zmiany czasu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Icons.tsx i styles.css</w:t>
            </w:r>
          </w:p>
        </w:tc>
        <w:tc>
          <w:tcPr>
            <w:tcW w:type="dxa" w:w="64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Własne SVG, kolory, typografia oraz reguły responsywnego układu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Brak backendu ogranicza koszt utrzymania i liczbę zależności, ale nie zapewnia synchronizacji. Wyczyszczenie danych przeglądarki usuwa plan z urządzenia. Dlatego eksport jest stałą częścią interfejsu, a ostrzeżenie poprzedza czyszczenie, import i wczytanie przykładu na istniejącym planie.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Implementacja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Lista zrealizowanych User Stories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1928"/>
        <w:gridCol w:w="1020"/>
        <w:gridCol w:w="4876"/>
      </w:tblGrid>
      <w:tr>
        <w:trPr>
          <w:cantSplit/>
          <w:tblHeader/>
        </w:trPr>
        <w:tc>
          <w:tcPr>
            <w:tcW w:type="dxa" w:w="1134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Przyrost</w:t>
            </w:r>
          </w:p>
        </w:tc>
        <w:tc>
          <w:tcPr>
            <w:tcW w:type="dxa" w:w="192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User Stories</w:t>
            </w:r>
          </w:p>
        </w:tc>
        <w:tc>
          <w:tcPr>
            <w:tcW w:type="dxa" w:w="1020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876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Rezultat i właściciel odbioru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Sprint 1</w:t>
            </w:r>
          </w:p>
        </w:tc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US-01, US-03</w:t>
            </w:r>
          </w:p>
        </w:tc>
        <w:tc>
          <w:tcPr>
            <w:tcW w:type="dxa" w:w="102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Gotowe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Formularze przedmiotów i zadań; Iwona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Sprint 1</w:t>
            </w:r>
          </w:p>
        </w:tc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US-02, US-05, US-09</w:t>
            </w:r>
          </w:p>
        </w:tc>
        <w:tc>
          <w:tcPr>
            <w:tcW w:type="dxa" w:w="102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Gotowe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Terminy, filtr i najbliższe zaliczenie; Jarek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Sprint 1</w:t>
            </w:r>
          </w:p>
        </w:tc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US-04, US-06</w:t>
            </w:r>
          </w:p>
        </w:tc>
        <w:tc>
          <w:tcPr>
            <w:tcW w:type="dxa" w:w="102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Gotowe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Postęp i zachowanie danych; Emil oraz Szymon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Sprint 2</w:t>
            </w:r>
          </w:p>
        </w:tc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US-07, US-08</w:t>
            </w:r>
          </w:p>
        </w:tc>
        <w:tc>
          <w:tcPr>
            <w:tcW w:type="dxa" w:w="102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Gotowe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Eksport i walidowane odtworzenie kopii; Szymon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Sprint 2</w:t>
            </w:r>
          </w:p>
        </w:tc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US-10, US-11, US-12</w:t>
            </w:r>
          </w:p>
        </w:tc>
        <w:tc>
          <w:tcPr>
            <w:tcW w:type="dxa" w:w="102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Gotowe</w:t>
            </w:r>
          </w:p>
        </w:tc>
        <w:tc>
          <w:tcPr>
            <w:tcW w:type="dxa" w:w="487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Przykład, telefon i pomoc; Iwona oraz Emil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Technologie użyte w projekcie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Frontend wykorzystuje React 18, TypeScript i Vite. Vitest oraz Testing Library sprawdzają logikę i zachowanie interfejsu, a GitHub Actions uruchamia npm ci, testy i build w Node.js 22. Projekt nie używa biblioteki komponentów ani ikon. Przyciski, formularze, okna i SVG zostały opracowane w kodzie aplikacji; fonty są dostępne lokalnie na urządzeniu.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Problemy napotkane podczas implementacji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458"/>
        <w:gridCol w:w="5499"/>
      </w:tblGrid>
      <w:tr>
        <w:trPr>
          <w:cantSplit/>
          <w:tblHeader/>
        </w:trPr>
        <w:tc>
          <w:tcPr>
            <w:tcW w:type="dxa" w:w="345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Problem</w:t>
            </w:r>
          </w:p>
        </w:tc>
        <w:tc>
          <w:tcPr>
            <w:tcW w:type="dxa" w:w="549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Zastosowane rozwiązanie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Błędny import mógł zniszczyć plan</w:t>
            </w:r>
          </w:p>
        </w:tc>
        <w:tc>
          <w:tcPr>
            <w:tcW w:type="dxa" w:w="549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Walidacja całej kopii przed zapisem i potwierdzenie zastąpienia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Zmiana czasu zawyżała liczbę dni</w:t>
            </w:r>
          </w:p>
        </w:tc>
        <w:tc>
          <w:tcPr>
            <w:tcW w:type="dxa" w:w="549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Różnica dat kalendarzowych liczona względem północy UTC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Fokus opuszczał okno formularza</w:t>
            </w:r>
          </w:p>
        </w:tc>
        <w:tc>
          <w:tcPr>
            <w:tcW w:type="dxa" w:w="549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Wspólny Modal z Tab, Escape, inert i przywróceniem fokusu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Postęp i usuwanie znikały na telefonie</w:t>
            </w:r>
          </w:p>
        </w:tc>
        <w:tc>
          <w:tcPr>
            <w:tcW w:type="dxa" w:w="549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Widoczny wskaźnik i akcja kosza obok karty przedmiotu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Wygląd był zbyt podobny do gotowego szablonu</w:t>
            </w:r>
          </w:p>
        </w:tc>
        <w:tc>
          <w:tcPr>
            <w:tcW w:type="dxa" w:w="549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Własna typografia, papierowe tło, spokojne kolory i ilustracja SVG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Najpierw domknęliśmy przepływ dodawania i przechowywania danych. Dopiero potem rozbudowaliśmy odbiór, potwierdzenia i mobilny układ. Dzięki temu poprawki wyglądu nie wymagały zmiany modelu planera.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Branch i Pull Request jako droga do main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Każde zadanie rozpoczyna się na oddzielnym branchu feature/, fix/ lub docs/. Zmiany kodu i dokumentacji przechodzą ten sam proces. Właściciel opisuje rezultat w PR, łączy Issue, podaje sposób sprawdzenia i prosi o przegląd. Po poprawkach oraz zielonym CI stosujemy Squash and merge.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78880"/>
            <wp:docPr id="51" name="Picture 51" descr="git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flow.png"/>
                    <pic:cNvPicPr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7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6. Przepływ pracy od zadania przez branch i PR do publikacji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288"/>
        <w:gridCol w:w="5669"/>
      </w:tblGrid>
      <w:tr>
        <w:trPr>
          <w:cantSplit/>
          <w:tblHeader/>
        </w:trPr>
        <w:tc>
          <w:tcPr>
            <w:tcW w:type="dxa" w:w="328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Reguła</w:t>
            </w:r>
          </w:p>
        </w:tc>
        <w:tc>
          <w:tcPr>
            <w:tcW w:type="dxa" w:w="566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Znaczenie dla zespołu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 wymagany do main</w:t>
            </w:r>
          </w:p>
        </w:tc>
        <w:tc>
          <w:tcPr>
            <w:tcW w:type="dxa" w:w="56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Każda zmiana ma osobną gałąź i miejsce na przegląd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Kontrola verify i aktualna gałąź</w:t>
            </w:r>
          </w:p>
        </w:tc>
        <w:tc>
          <w:tcPr>
            <w:tcW w:type="dxa" w:w="56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Testy i build muszą przejść dla kodu zgodnego z main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Rozwiązane uwagi</w:t>
            </w:r>
          </w:p>
        </w:tc>
        <w:tc>
          <w:tcPr>
            <w:tcW w:type="dxa" w:w="56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Otwarte rozmowy z przeglądu blokują scalanie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Ochrona administratora</w:t>
            </w:r>
          </w:p>
        </w:tc>
        <w:tc>
          <w:tcPr>
            <w:tcW w:type="dxa" w:w="56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Reguła obowiązuje także właściciela repozytorium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Historia liniowa</w:t>
            </w:r>
          </w:p>
        </w:tc>
        <w:tc>
          <w:tcPr>
            <w:tcW w:type="dxa" w:w="56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Squash utrzymuje czytelną historię rezultatów zadań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Zakaz force push i usunięcia main</w:t>
            </w:r>
          </w:p>
        </w:tc>
        <w:tc>
          <w:tcPr>
            <w:tcW w:type="dxa" w:w="566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Wspólna gałąź nie może zostać nadpisana ani skasowana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Lokalne zabezpieczenia i przegląd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Po sklonowaniu wykonujemy git config core.hooksPath .githooks. Hook pre-commit blokuje commit na main, a pre-push zatrzymuje wysyłanie do zdalnego main także z innej lokalnej gałęzi. Zabezpieczenie serwera nadal obowiązuje niezależnie od hooków. W zespole przyjmujemy przegląd przez inną osobę; techniczna konfiguracja nie narzuca obecnie minimalnej liczby akceptacji.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Iwona ocenia zgodność z potrzebą studenta, Emil scenariusze i regresje, Szymon model oraz publikację, a Jarek zależności i gotowość przyrostu. Uwagi odnoszą się do kryteriów zadania i kończą decyzją lub poprawką. Plik CONTRIBUTING.md opisuje komendy i pełny przebieg pracy.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Testowanie i jakość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Rodzaje testów i dokumentacja testowa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Testy jednostkowe obejmują walidator i daty, integracyjne operacje interfejsu z magazynem, a systemowe działającą stronę i publikację. Odbiór akceptacyjny porównuje efekt z User Stories. Wynik automatyczny to 11 testów w czterech plikach. Przypadki użytkowe są liczniejsze niż pojedyncze testy, ponieważ jeden scenariusz może sprawdzać kilka powiązanych zachowań.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850"/>
        <w:gridCol w:w="3402"/>
        <w:gridCol w:w="4706"/>
      </w:tblGrid>
      <w:tr>
        <w:trPr>
          <w:cantSplit/>
          <w:tblHeader/>
        </w:trPr>
        <w:tc>
          <w:tcPr>
            <w:tcW w:type="dxa" w:w="850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3402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Przypadek</w:t>
            </w:r>
          </w:p>
        </w:tc>
        <w:tc>
          <w:tcPr>
            <w:tcW w:type="dxa" w:w="4706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Oczekiwany wynik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T-01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Dodanie przedmiotu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Wpis i kolor pojawiają się w planie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T-02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Zapis zadania i ponowne otwarcie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Dane i status pozostają zachowane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T-03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Dodanie i sortowanie terminów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Kolejność rosnąca według daty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T-04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Oznaczenie zadania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Status i procent postępu są zgodne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T-05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Filtr przedmiotu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Widoczne są powiązane wpisy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T-06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Import poprawnej kopii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Zmiana następuje po potwierdzeniu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T-07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Błędna kopia lub data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Komunikat, dotychczasowy plan bez zmian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T-08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Tab, Escape i telefon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Fokus w oknie; czytelny układ mobilny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T-09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Anulowanie usuwania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Dane nie znikają bez potwierdzenia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T-10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Przejście przez zmianę czasu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24–26 X oznacza dwa dni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T-11</w:t>
            </w:r>
          </w:p>
        </w:tc>
        <w:tc>
          <w:tcPr>
            <w:tcW w:type="dxa" w:w="340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Miniony i przyszły termin</w:t>
            </w:r>
          </w:p>
        </w:tc>
        <w:tc>
          <w:tcPr>
            <w:tcW w:type="dxa" w:w="4706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Podsumowanie wybiera przyszły termin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10204" cy="1800000"/>
            <wp:docPr id="52" name="Picture 52" descr="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.png"/>
                    <pic:cNvPicPr/>
                  </pic:nvPicPr>
                  <pic:blipFill>
                    <a:blip r:embed="rId15"/>
                    <a:srcRect l="872" t="14815" r="55523" b="44856"/>
                    <a:stretch>
                      <a:fillRect/>
                    </a:stretch>
                  </pic:blipFill>
                  <pic:spPr>
                    <a:xfrm>
                      <a:off x="0" y="0"/>
                      <a:ext cx="5510204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7. Poprawnie zakończona kontrola jakości w GitHub Actions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Raport kontroli technicznej z 24.10.2026: 11 testów poprawnych, 0 niepowodzeń, cztery pliki testowe i poprawny build. CI używa Node.js 22; interfejs sprawdzono także w Chrome na Windows.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Bug Tracking i checklista jakościowa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GitHub Issues jest rejestrem błędów. Zgłoszenie opisuje kroki odtworzenia, oczekiwany i rzeczywisty wynik, środowisko oraz wpływ na użytkownika. Priorytet P0 dotyczy utraty danych lub blokady głównego przepływu; P1 istotnej niewygody; P2 drobnej poprawki. PR łączy naprawę ze zgłoszeniem, a zamknięcie następuje po ponownym sprawdzeniu.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57"/>
        <w:gridCol w:w="4082"/>
        <w:gridCol w:w="3118"/>
      </w:tblGrid>
      <w:tr>
        <w:trPr>
          <w:cantSplit/>
          <w:tblHeader/>
        </w:trPr>
        <w:tc>
          <w:tcPr>
            <w:tcW w:type="dxa" w:w="1757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Przykład</w:t>
            </w:r>
          </w:p>
        </w:tc>
        <w:tc>
          <w:tcPr>
            <w:tcW w:type="dxa" w:w="4082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Odtworzenie i rezultat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Naprawa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B-01 Ochrona planu</w:t>
            </w:r>
          </w:p>
        </w:tc>
        <w:tc>
          <w:tcPr>
            <w:tcW w:type="dxa" w:w="408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Wczytanie demo na własnych danych zastępowało plan bez pytania</w:t>
            </w:r>
          </w:p>
        </w:tc>
        <w:tc>
          <w:tcPr>
            <w:tcW w:type="dxa" w:w="311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Własne potwierdzenie i test anulowania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B-02 Licznik dni</w:t>
            </w:r>
          </w:p>
        </w:tc>
        <w:tc>
          <w:tcPr>
            <w:tcW w:type="dxa" w:w="408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24 X termin 26 X był wskazywany jako za trzy dni</w:t>
            </w:r>
          </w:p>
        </w:tc>
        <w:tc>
          <w:tcPr>
            <w:tcW w:type="dxa" w:w="311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Obliczenia na datach kalendarzowych i test regresji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B-03 Klawiatura</w:t>
            </w:r>
          </w:p>
        </w:tc>
        <w:tc>
          <w:tcPr>
            <w:tcW w:type="dxa" w:w="4082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Tab wychodził poza okno, a Escape nie zamykał formularza</w:t>
            </w:r>
          </w:p>
        </w:tc>
        <w:tc>
          <w:tcPr>
            <w:tcW w:type="dxa" w:w="311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Wspólny Modal i test powrotu fokusu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25531" cy="2520000"/>
            <wp:docPr id="53" name="Picture 53" descr="bu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.png"/>
                    <pic:cNvPicPr/>
                  </pic:nvPicPr>
                  <pic:blipFill>
                    <a:blip r:embed="rId16"/>
                    <a:srcRect l="32117" t="32231" r="41606" b="28926"/>
                    <a:stretch>
                      <a:fillRect/>
                    </a:stretch>
                  </pic:blipFill>
                  <pic:spPr>
                    <a:xfrm>
                      <a:off x="0" y="0"/>
                      <a:ext cx="4825531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8. Fragment zgłoszenia 18 z opisem problemów i kryteriami odbioru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Checklista przed zakończeniem przyrostu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[x] Testy 11/11 i kompilacja produkcyjna zakończone poprawnie.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[x] Dodawanie, filtr, postęp oraz zapis po ponownym otwarciu sprawdzone.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[x] Błędna kopia nie zmienia danych; anulowanie operacji zachowuje plan.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[x] Własne potwierdzenia, Tab i Escape oraz widok mobilny sprawdzone.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[x] Instrukcja odpowiada aplikacji, a PR zawiera sposób sprawdzenia.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[x] Kopia JSON pobrana, strona i zasoby Pages ładują się poprawnie.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Emil prowadzi odbiór i odtwarza zgłoszenia; właściciel funkcji odpowiada za poprawkę. Jeśli błąd zmienia zakres sprintu, Jarek odnotowuje to na tablicy, a Iwona decyduje o priorytecie względem pozostałych potrzeb.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Zarządzanie ryzykiem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Analiza SWOT projektu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447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Mocne strony</w:t>
            </w:r>
          </w:p>
        </w:tc>
        <w:tc>
          <w:tcPr>
            <w:tcW w:type="dxa" w:w="447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Słabe strony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Mały, zrozumiały zakres; brak kosztu backendu; lokalne dane; szybkie wejście bez konta; własny i spójny interfejs.</w:t>
            </w:r>
          </w:p>
        </w:tc>
        <w:tc>
          <w:tcPr>
            <w:tcW w:type="dxa" w:w="447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Brak synchronizacji i współdzielenia; zależność od przeglądarki; brak powiadomień; konieczność samodzielnego wykonywania kopii.</w:t>
            </w:r>
          </w:p>
        </w:tc>
      </w:tr>
      <w:tr>
        <w:trPr>
          <w:cantSplit/>
        </w:trPr>
        <w:tc>
          <w:tcPr>
            <w:tcW w:type="dxa" w:w="447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Szanse</w:t>
            </w:r>
          </w:p>
        </w:tc>
        <w:tc>
          <w:tcPr>
            <w:tcW w:type="dxa" w:w="447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Zagrożenia</w:t>
            </w:r>
          </w:p>
        </w:tc>
      </w:tr>
      <w:tr>
        <w:trPr>
          <w:cantSplit/>
        </w:trPr>
        <w:tc>
          <w:tcPr>
            <w:tcW w:type="dxa" w:w="447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Plan tygodnia, eksport kalendarza, przypomnienia i rozszerzenie na inne kierunki po zebraniu potrzeb.</w:t>
            </w:r>
          </w:p>
        </w:tc>
        <w:tc>
          <w:tcPr>
            <w:tcW w:type="dxa" w:w="447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Wyczyszczenie pamięci, rozrost zakresu, niedostępność hostingu i przeciążenie osoby odpowiedzialnej za wdrożenie.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Plan zarządzania ryzykiem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891"/>
        <w:gridCol w:w="1417"/>
        <w:gridCol w:w="4649"/>
      </w:tblGrid>
      <w:tr>
        <w:trPr>
          <w:cantSplit/>
          <w:tblHeader/>
        </w:trPr>
        <w:tc>
          <w:tcPr>
            <w:tcW w:type="dxa" w:w="289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Ryzyko</w:t>
            </w:r>
          </w:p>
        </w:tc>
        <w:tc>
          <w:tcPr>
            <w:tcW w:type="dxa" w:w="1417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 × W</w:t>
            </w:r>
          </w:p>
        </w:tc>
        <w:tc>
          <w:tcPr>
            <w:tcW w:type="dxa" w:w="464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Działanie i właściciel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R-01 Utrata danych lokalnych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 × 3 = 9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Widoczny eksport, ostrzeżenie przed usunięciem; Szymon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R-02 Niepoprawny import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× 3 = 6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Walidacja całości i regresje; Emil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R-03 Za szeroki zakres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 × 2 = 6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Ochrona MVP i odkładanie integracji; Iwona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R-04 Opóźniony przegląd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× 2 = 4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WIP oraz pomoc w domykaniu rozpoczętych zadań; Jarek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R-05 Błąd ścieżki Pages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× 3 = 6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Build, kontrola /zaliczone/ i zasobów po publikacji; Szymon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R-06 Błąd na małym ekranie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× 2 = 4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Odbiór 360–390 px i klawiatury; Emil i Iwona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R-07 Nierówny podział wiedzy</w:t>
            </w:r>
          </w:p>
        </w:tc>
        <w:tc>
          <w:tcPr>
            <w:tcW w:type="dxa" w:w="1417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× 2 = 4</w:t>
            </w:r>
          </w:p>
        </w:tc>
        <w:tc>
          <w:tcPr>
            <w:tcW w:type="dxa" w:w="464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Przeglądy między rolami i wspólne notatki; Jarek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Prawdopodobieństwo i wpływ oceniamy w skali 1–3. Wynik 6 lub 9 wymaga działania w bieżącej iteracji. Ryzyka omawiamy na planowaniu i przeglądzie, a nową blokadę zapisujemy od razu w Issue. Gdy ryzyko się materializuje, otrzymuje właściciela i kryterium zamknięcia zamiast pozostawać ogólną uwagą.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Dokumentacja użytkowa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Instrukcja obsługi i pierwszy plan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Po otwarciu aplikacji wybierz Dodaj przedmiot i wpisz nazwę. Następnie dodaj termin, wybierz przedmiot, datę oraz rodzaj zaliczenia. Dodaj kilka krótkich zadań przygotowawczych z datami. Kliknięcie pola przy wykonanym kroku zmienia jego status i aktualizuje procent postępu. Filtr nad planem ogranicza listę do wybranego przedmiotu.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62561" cy="3600000"/>
            <wp:docPr id="54" name="Picture 54" descr="app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mobile.png"/>
                    <pic:cNvPicPr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561" cy="360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3060000" cy="2646000"/>
            <wp:docPr id="55" name="Picture 55" descr="app task di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task-dialog.png"/>
                    <pic:cNvPicPr/>
                  </pic:nvPicPr>
                  <pic:blipFill>
                    <a:blip r:embed="rId18"/>
                    <a:srcRect l="42587" t="32651" r="42587" b="3265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9. Układ mobilny oraz własny formularz dodawania zadania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Na telefonie postęp znajduje się pod dwiema głównymi informacjami, a przycisk dodawania zadania ma szerokość listy. Kosz obok karty przedmiotu otwiera potwierdzenie usunięcia. W oknach Tab i Shift+Tab przechodzą między polami, Escape anuluje, a po zamknięciu fokus wraca do przycisku wywołującego.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Kopia danych i FAQ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Eksport i przywracanie planu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Pobierz kopię tworzy plik zaliczone-kopia.json. Zachowaj go przed czyszczeniem danych przeglądarki lub zmianą urządzenia. Na drugim urządzeniu otwórz aplikację, wybierz Przywróć kopię i wskaż plik. Jeśli istnieje już plan, zatwierdź zastąpienie dopiero po zabezpieczeniu własnych wpisów. Błędny plik wywoła komunikat bez zmiany bieżących danych.</w:t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73454" cy="2520000"/>
            <wp:docPr id="56" name="Picture 56" descr="app confirm di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onfirm-dialog.png"/>
                    <pic:cNvPicPr/>
                  </pic:nvPicPr>
                  <pic:blipFill>
                    <a:blip r:embed="rId19"/>
                    <a:srcRect l="42587" t="38683" r="42587" b="38683"/>
                    <a:stretch>
                      <a:fillRect/>
                    </a:stretch>
                  </pic:blipFill>
                  <pic:spPr>
                    <a:xfrm>
                      <a:off x="0" y="0"/>
                      <a:ext cx="4673454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10. Własne potwierdzenie chroniące przed przypadkowym usunięciem planu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Najczęstsze pytania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Czy potrzebuję konta? Nie. Plan jest zapisywany w tej przeglądarce na tym urządzeniu. Czy działa synchronizacja? Nie automatycznie; do przeniesienia danych służy kopia JSON. Czy zamknięcie strony usuwa wpisy? Nie, o ile przeglądarka zachowuje localStorage i użytkownik nie wyczyści jej danych.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Co robią Dane przykładowe? Wczytują demonstracyjny semestr i zastępują bieżący plan po potwierdzeniu. Jak usunąć przedmiot? Wybierz jego kosz i potwierdź; usuwane są także powiązane terminy i zadania. Czy można dodać inny rodzaj zaliczenia? W MVP dostępne są Egzamin, Kolokwium i Projekt.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Dlaczego procent postępu nie jest oceną z przedmiotu? Wskaźnik pokazuje udział wykonanych zadań w całym planie. Terminy zaliczeń i oceny nie są z nim utożsamiane. Czy dane trafiają do GitHub? Nie; GitHub Pages udostępnia pliki aplikacji, a wpisy planera pozostają lokalne.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Retrospektywa projektu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Poniższe notatki, wypowiedzi i feedback są opracowaną symulacją dydaktyczną dwóch sprintów. Pokazują pracę czterech ról, zgłaszane trudności oraz konkretne ustalenia. Zapis jest skrócony do informacji potrzebnych do prowadzenia projektu.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1  Planowanie  26.10.2026  18.00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Najpierw student musi dodać przedmiot, termin i mały krok do nauki.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Przyjmijmy cel działającego rdzenia i ograniczmy jednoczesną pracę do czterech zadań.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Ujednolicę model danych przed podłączeniem formularzy i zapisu w przeglądarce.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Dopiszę przypadki pustych pól, błędnych relacji i zmiany procentu postępu.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Przyjęto 27 SP. Iwona doprecyzowuje kryteria, Jarek koordynuje kolejność, Szymon model, Emil odbiór.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1  Daily Scrum  28.10.2026  20.00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Zapis działa; potrzebuję wspólnej nazwy subjectId w zadaniach i terminach.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Formularze są czytelne, ale pusty plan powinien prowadzić najpierw do przedmiotu.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Terminy są posortowane; połączę filtr obu list po ustaleniu identyfikatora.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Postęp liczy się poprawnie; sprawdzę jeszcze powrót po odświeżeniu strony.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Ujednolicono subjectId. Nie rozpoczynamy kolejnej funkcji przed połączeniem filtra i zapisu.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1  Przegląd  01.11.2026  18.30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Da się zaplanować przykładowe zaliczenie; brakuje jeszcze wyjaśnienia lokalnego przechowywania.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Cel sprintu osiągnięty; eksport i układ mobilny przechodzą do kolejnej iteracji.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Model nie wymaga zmiany do kopii JSON, wystarczy osobna walidacja importu.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Podstawowe ścieżki przechodzą; odbiór kopii oraz klawiatury planuję na drugi sprint.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Przyjęto rdzeń MVP. Do backlogu dopisano pomoc dotyczącą danych i ochronę odtwarzania.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1  Retrospektywa 4Ls  01.11.2026  19.00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Pomogły małe zadania; następnym razem wcześniej uzgodnijmy format danych.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Dobre były krótkie formularze; chcę mniej ogólnych, a więcej mierzalnych kryteriów.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Tablica ujawniła zależności; powinniśmy wcześniej kończyć zadania czekające na odbiór.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Zabrakło scenariusza błędnego pliku; dodam go przed implementacją importu.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Sprint 2: widoczna informacja o danych, bezpieczny import i wcześniejsze kryteria testowe.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Notatki Sprintu 2 i działania usprawniające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2  Planowanie  02.11.2026  18.00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Kończymy kopię, telefon i pomoc; odłóżmy synchronizację oraz nowe rodzaje widoków.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Mamy 19 SP; zostawmy końcówkę iteracji na wspólną demonstrację i poprawki.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Import sprawdzi cały plik przed zapisem, a publikacja przejdzie przez PR.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Odbiór obejmie anulowanie zmian, błędny JSON, klawiaturę i mały ekran.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Zakres zamknięto do pięciu User Stories. Każda osoba przegląda element z innego obszaru.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2  Daily Scrum  04.11.2026  20.00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Licznik zawyża dni przy zmianie czasu; dopisałem dokładne kroki odtworzenia.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Poprawię obliczenia kalendarzowe i dodam regresję przed scaleniem kopii.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Na telefonie potrzebujemy widocznego postępu i przycisku usuwania obok przedmiotu.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Wstrzymujemy nową pracę, dopóki nie zamkniemy dwóch usterek blokujących odbiór.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Błędy otrzymały właścicieli i kryteria. Odbiór poprawki dat wykonuje Emil, mobilnego widoku Iwona.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2  Przegląd  08.11.2026  18.30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Kopia i publikacja działają; main jest chroniony, a zmiany przechodzą kontrolę CI.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Interfejs jest spójny, a przykład pozwala poznać aplikację bez wpisywania semestru.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Cel iteracji zrealizowany; instrukcja i tablica opisują ten sam zakres.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Testy przechodzą, anulowanie zachowuje dane, a fokus wraca po zamknięciu formularza.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Przyjęto MVP. Zapisano wersję, kopię demonstracyjną, wyniki kontroli i pakiet sprawozdania.</w:t>
      </w:r>
    </w:p>
    <w:p>
      <w:pPr>
        <w:keepNext/>
        <w:widowControl/>
        <w:spacing w:line="269" w:lineRule="auto" w:after="80" w:before="10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>Sprint 2  Retrospektywa 4Ls  08.11.2026  19.00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Iwona: </w:t>
      </w:r>
      <w:r>
        <w:rPr>
          <w:rFonts w:ascii="Times New Roman" w:hAnsi="Times New Roman"/>
          <w:color w:val="000000"/>
          <w:sz w:val="23"/>
        </w:rPr>
        <w:t>Własne komponenty ułatwiły spójność; wcześniej pokażmy projekt widoku na telefonie.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Jarek: </w:t>
      </w:r>
      <w:r>
        <w:rPr>
          <w:rFonts w:ascii="Times New Roman" w:hAnsi="Times New Roman"/>
          <w:color w:val="000000"/>
          <w:sz w:val="23"/>
        </w:rPr>
        <w:t>WIP pomógł dokończyć odbiór; utrzymajmy przegląd krótkich zadań w połowie sprintu.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Szymon: </w:t>
      </w:r>
      <w:r>
        <w:rPr>
          <w:rFonts w:ascii="Times New Roman" w:hAnsi="Times New Roman"/>
          <w:color w:val="000000"/>
          <w:sz w:val="23"/>
        </w:rPr>
        <w:t>Test regresji szybko potwierdził naprawę; przegląd modelu powinien poprzedzać nowe formularze.</w:t>
      </w:r>
    </w:p>
    <w:p>
      <w:pPr>
        <w:spacing w:line="259" w:lineRule="auto" w:after="40"/>
        <w:ind w:firstLine="0"/>
        <w:jc w:val="left"/>
      </w:pPr>
      <w:r>
        <w:rPr>
          <w:rFonts w:ascii="Times New Roman" w:hAnsi="Times New Roman"/>
          <w:b/>
          <w:color w:val="000000"/>
          <w:sz w:val="23"/>
        </w:rPr>
        <w:t xml:space="preserve">Emil: </w:t>
      </w:r>
      <w:r>
        <w:rPr>
          <w:rFonts w:ascii="Times New Roman" w:hAnsi="Times New Roman"/>
          <w:color w:val="000000"/>
          <w:sz w:val="23"/>
        </w:rPr>
        <w:t>Wcześniejsze scenariusze zadziałały; kolejne funkcje powinny zaczynać się od ryzyka utraty danych.</w:t>
      </w:r>
    </w:p>
    <w:p>
      <w:pPr>
        <w:spacing w:line="259" w:lineRule="auto" w:after="80"/>
        <w:ind w:firstLine="0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Ustalenie: </w:t>
      </w:r>
      <w:r>
        <w:rPr>
          <w:rFonts w:ascii="Times New Roman" w:hAnsi="Times New Roman"/>
          <w:color w:val="000000"/>
          <w:sz w:val="22"/>
        </w:rPr>
        <w:t>Dalej stosujemy małe PR, wspólny odbiór mobilny i gotowe kryteria przed implementacją.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Raport iteracji: zakres 19 SP zakończono w scenariuszu ćwiczenia. Najważniejszą zmianą procesu było domykanie błędów przed rozpoczęciem nowej pracy oraz sprawdzanie kopii i klawiatury jako części zwykłego odbioru.</w:t>
      </w:r>
    </w:p>
    <w:p>
      <w:pPr>
        <w:pStyle w:val="Nagwek2"/>
        <w:keepNext/>
        <w:pageBreakBefore/>
        <w:tabs>
          <w:tab w:pos="1020" w:val="left"/>
        </w:tabs>
        <w:spacing w:before="0" w:after="120"/>
        <w:ind w:left="1020" w:hanging="652"/>
      </w:pPr>
      <w:r>
        <w:rPr>
          <w:color w:val="000000"/>
        </w:rPr>
        <w:t>Feedback 360 stopni i podsumowanie retrospektyw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Feedback w scenariuszu dotyczy zachowań przy pracy, ich wpływu i konkretnego następnego kroku. Każda osoba otrzymuje informację od innej roli; uzupełnieniem jest perspektywa studenta korzystającego z demonstracji. Ocena nie jest rankingiem osób.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28"/>
        <w:gridCol w:w="3685"/>
        <w:gridCol w:w="3345"/>
      </w:tblGrid>
      <w:tr>
        <w:trPr>
          <w:cantSplit/>
          <w:tblHeader/>
        </w:trPr>
        <w:tc>
          <w:tcPr>
            <w:tcW w:type="dxa" w:w="192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Odbiorca i autor</w:t>
            </w:r>
          </w:p>
        </w:tc>
        <w:tc>
          <w:tcPr>
            <w:tcW w:type="dxa" w:w="3685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Obserwacja</w:t>
            </w:r>
          </w:p>
        </w:tc>
        <w:tc>
          <w:tcPr>
            <w:tcW w:type="dxa" w:w="3345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Ustalone działanie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Szymon</w:t>
              <w:br/>
              <w:t>Emil</w:t>
            </w:r>
          </w:p>
        </w:tc>
        <w:tc>
          <w:tcPr>
            <w:tcW w:type="dxa" w:w="368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Spójny model ułatwił regresje; import wymagał wcześniejszego omówienia błędnych danych.</w:t>
            </w:r>
          </w:p>
        </w:tc>
        <w:tc>
          <w:tcPr>
            <w:tcW w:type="dxa" w:w="334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Przed kolejną funkcją uzgodnić z testerem skrajne przypadki.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Iwona</w:t>
              <w:br/>
              <w:t>Jarek</w:t>
            </w:r>
          </w:p>
        </w:tc>
        <w:tc>
          <w:tcPr>
            <w:tcW w:type="dxa" w:w="368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Priorytety chroniły MVP; część kryteriów początkowo była zbyt ogólna.</w:t>
            </w:r>
          </w:p>
        </w:tc>
        <w:tc>
          <w:tcPr>
            <w:tcW w:type="dxa" w:w="334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Każda User Story otrzymuje przykład pozytywny i negatywny.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Jarek</w:t>
              <w:br/>
              <w:t>Iwona</w:t>
            </w:r>
          </w:p>
        </w:tc>
        <w:tc>
          <w:tcPr>
            <w:tcW w:type="dxa" w:w="368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Cele sprintów były jasne; odbiór gromadził się pod koniec pierwszej iteracji.</w:t>
            </w:r>
          </w:p>
        </w:tc>
        <w:tc>
          <w:tcPr>
            <w:tcW w:type="dxa" w:w="334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Przegląd rozpoczętych zadań w połowie sprintu i pilnowanie WIP.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Emil</w:t>
              <w:br/>
              <w:t>Szymon</w:t>
            </w:r>
          </w:p>
        </w:tc>
        <w:tc>
          <w:tcPr>
            <w:tcW w:type="dxa" w:w="368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Dokładne odtworzenie błędu czasu skróciło poprawkę; scenariusze warto tworzyć wcześniej.</w:t>
            </w:r>
          </w:p>
        </w:tc>
        <w:tc>
          <w:tcPr>
            <w:tcW w:type="dxa" w:w="334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Przypadki testowe powstają przed formularzem lub importem.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Zespół</w:t>
              <w:br/>
              <w:t>Student testujący</w:t>
            </w:r>
          </w:p>
        </w:tc>
        <w:tc>
          <w:tcPr>
            <w:tcW w:type="dxa" w:w="368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Podział na kroki i filtr pomagają; lokalny zapis wymaga wyjaśnienia.</w:t>
            </w:r>
          </w:p>
        </w:tc>
        <w:tc>
          <w:tcPr>
            <w:tcW w:type="dxa" w:w="3345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Zachować widoczny eksport oraz krótką pomoc przy pierwszym użyciu.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keepNext/>
        <w:spacing w:line="240" w:lineRule="auto"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48600"/>
            <wp:docPr id="57" name="Picture 57" descr="burndow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4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60" w:after="120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Rys. 11. Symulacja spalania punktów w dwóch sprintach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Pierwszy sprint nauczył zespół ustalać wspólny model i kryteria przed łączeniem funkcji. Drugi sprawdził te ustalenia w imporcie oraz poprawkach. Działania z retrospektyw mają właścicieli i są sprawdzane w kolejnej iteracji, dzięki czemu notatka kończy się zmianą sposobu pracy.</w:t>
      </w:r>
    </w:p>
    <w:p>
      <w:pPr>
        <w:pStyle w:val="Nagwek1"/>
        <w:keepNext/>
        <w:pageBreakBefore/>
        <w:spacing w:before="0" w:after="120"/>
      </w:pPr>
      <w:r>
        <w:rPr>
          <w:color w:val="000000"/>
        </w:rPr>
        <w:t>Wnioski i rekomendacje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Ocena realizacji projektu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Projekt osiąga cel MVP: student może uporządkować semestr, zapisać terminy, zaplanować zadania i śledzić wykonanie. Zapis lokalny umożliwia korzystanie bez konta, a kopia JSON ogranicza ryzyko związane z danymi przeglądarki. Własne potwierdzenia, obsługa klawiatury i mobilny układ domykają podstawowy przepływ użytkownika.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Cztery role obejmują produkt i wygląd Iwony, organizację oraz funkcje Jarka, model i publikację Szymona oraz jakość Emila. W scenariuszu dwóch iteracji przyjęto 46 SP. Wyniki techniczne oraz symulowane notatki opisano oddzielnie.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Propozycje dalszego rozwoju aplikacji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91"/>
        <w:gridCol w:w="3458"/>
        <w:gridCol w:w="4309"/>
      </w:tblGrid>
      <w:tr>
        <w:trPr>
          <w:cantSplit/>
          <w:tblHeader/>
        </w:trPr>
        <w:tc>
          <w:tcPr>
            <w:tcW w:type="dxa" w:w="1191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Kolejność</w:t>
            </w:r>
          </w:p>
        </w:tc>
        <w:tc>
          <w:tcPr>
            <w:tcW w:type="dxa" w:w="3458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Rozszerzenie</w:t>
            </w:r>
          </w:p>
        </w:tc>
        <w:tc>
          <w:tcPr>
            <w:tcW w:type="dxa" w:w="4309"/>
            <w:vAlign w:val="center"/>
            <w:shd w:fill="E7E6E6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Warunek rozpoczęcia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Eksport terminów do kalendarza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Potwierdzenie formatu i zasad aktualizacji wpisów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Plan tygodnia i edycja wpisów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Sprawdzenie potrzeb na większym semestrze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Przypomnienia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Uzgodnienie uprawnień i zachowania bez otwartej strony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54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458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Konto i synchronizacja</w:t>
            </w:r>
          </w:p>
        </w:tc>
        <w:tc>
          <w:tcPr>
            <w:tcW w:type="dxa" w:w="4309"/>
            <w:vAlign w:val="center"/>
          </w:tcPr>
          <w:p>
            <w:pPr>
              <w:spacing w:line="254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Osobny projekt backendu, bezpieczeństwa i ochrony danych</w:t>
            </w:r>
          </w:p>
        </w:tc>
      </w:tr>
    </w:tbl>
    <w:p>
      <w:pPr>
        <w:spacing w:line="60" w:lineRule="exact" w:after="0"/>
        <w:ind w:firstLine="0"/>
      </w:pPr>
      <w:r>
        <w:rPr>
          <w:rFonts w:ascii="Times New Roman" w:hAnsi="Times New Roman"/>
          <w:color w:val="000000"/>
          <w:sz w:val="6"/>
        </w:rPr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Rekomendacje dotyczące pracy zespołowej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Utrzymujemy małe zadania, jednego właściciela i mierzalny odbiór. Kończymy rozpoczętą pracę przed nową. Przeglądy między rolami rozkładają wiedzę w zespole. Każda zmiana przechodzi branch, PR, CI i kontrolę wdrożenia.</w:t>
      </w:r>
    </w:p>
    <w:p>
      <w:pPr>
        <w:widowControl/>
      </w:pPr>
      <w:r>
        <w:rPr>
          <w:rFonts w:ascii="Times New Roman" w:hAnsi="Times New Roman"/>
          <w:color w:val="000000"/>
          <w:sz w:val="24"/>
        </w:rPr>
        <w:t>Retrospektywę kończymy działaniem i terminem sprawdzenia. Zmianę zakresu uzgadnia Product Owner; kopia danych i klawiatura pozostają stałą częścią odbioru.</w:t>
      </w:r>
    </w:p>
    <w:p>
      <w:pPr>
        <w:pStyle w:val="Nagwek2"/>
        <w:keepNext/>
        <w:pageBreakBefore w:val="0"/>
        <w:tabs>
          <w:tab w:pos="1020" w:val="left"/>
        </w:tabs>
        <w:spacing w:before="160" w:after="120"/>
        <w:ind w:left="1020" w:hanging="652"/>
      </w:pPr>
      <w:r>
        <w:rPr>
          <w:color w:val="000000"/>
        </w:rPr>
        <w:t>Adresy projektu i materiały</w:t>
      </w:r>
    </w:p>
    <w:p>
      <w:pPr>
        <w:widowControl/>
        <w:spacing w:line="269" w:lineRule="auto" w:after="80"/>
        <w:ind w:firstLine="0"/>
        <w:jc w:val="left"/>
      </w:pPr>
      <w:r>
        <w:rPr>
          <w:rFonts w:ascii="Times New Roman" w:hAnsi="Times New Roman"/>
          <w:color w:val="000000"/>
          <w:sz w:val="23"/>
        </w:rPr>
        <w:t>Aplikacja: https://adasrakieta.github.io/zaliczone/</w:t>
      </w:r>
      <w:r>
        <w:br/>
      </w:r>
      <w:r>
        <w:rPr>
          <w:rFonts w:ascii="Times New Roman" w:hAnsi="Times New Roman"/>
          <w:color w:val="000000"/>
          <w:sz w:val="23"/>
        </w:rPr>
        <w:t>Repozytorium: https://github.com/AdasRakieta/zaliczone</w:t>
      </w:r>
      <w:r>
        <w:br/>
      </w:r>
      <w:r>
        <w:rPr>
          <w:rFonts w:ascii="Times New Roman" w:hAnsi="Times New Roman"/>
          <w:color w:val="000000"/>
          <w:sz w:val="23"/>
        </w:rPr>
        <w:t>Tablica zespołu: https://github.com/users/AdasRakieta/projects/5/views/2</w:t>
      </w:r>
      <w:r>
        <w:br/>
      </w:r>
      <w:r>
        <w:rPr>
          <w:rFonts w:ascii="Times New Roman" w:hAnsi="Times New Roman"/>
          <w:color w:val="000000"/>
          <w:sz w:val="23"/>
        </w:rPr>
        <w:t>Kontrole jakości: https://github.com/AdasRakieta/zaliczone/actions</w:t>
      </w:r>
      <w:r>
        <w:br/>
      </w:r>
      <w:r>
        <w:rPr>
          <w:rFonts w:ascii="Times New Roman" w:hAnsi="Times New Roman"/>
          <w:color w:val="000000"/>
          <w:sz w:val="23"/>
        </w:rPr>
        <w:t>Wzór opracowania: dostarczony szablon UKW dla Laboratorium 10.</w:t>
      </w:r>
    </w:p>
    <w:sectPr w:rsidR="00A32DC5" w:rsidRPr="00D11D56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70F24"/>
    <w:multiLevelType w:val="hybridMultilevel"/>
    <w:tmpl w:val="2682B4A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E6556A"/>
    <w:multiLevelType w:val="hybridMultilevel"/>
    <w:tmpl w:val="F33E548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B4514B"/>
    <w:multiLevelType w:val="hybridMultilevel"/>
    <w:tmpl w:val="054CAF4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D70CFB"/>
    <w:multiLevelType w:val="hybridMultilevel"/>
    <w:tmpl w:val="70DC1CB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F1480F"/>
    <w:multiLevelType w:val="hybridMultilevel"/>
    <w:tmpl w:val="713465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1349D5"/>
    <w:multiLevelType w:val="hybridMultilevel"/>
    <w:tmpl w:val="5E78AA5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104BF3"/>
    <w:multiLevelType w:val="hybridMultilevel"/>
    <w:tmpl w:val="F2AEB49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7E5326"/>
    <w:multiLevelType w:val="hybridMultilevel"/>
    <w:tmpl w:val="2AF8B11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5B786E"/>
    <w:multiLevelType w:val="multilevel"/>
    <w:tmpl w:val="EC86530C"/>
    <w:lvl w:ilvl="0">
      <w:start w:val="1"/>
      <w:numFmt w:val="decimal"/>
      <w:lvlText w:val="%1."/>
      <w:lvlJc w:val="left"/>
      <w:pPr>
        <w:ind w:left="1858" w:hanging="443"/>
      </w:pPr>
      <w:rPr>
        <w:rFonts w:ascii="Cambria" w:eastAsia="Cambria" w:hAnsi="Cambria" w:cs="Cambria"/>
        <w:sz w:val="28"/>
        <w:szCs w:val="28"/>
      </w:rPr>
    </w:lvl>
    <w:lvl w:ilvl="1">
      <w:start w:val="1"/>
      <w:numFmt w:val="decimal"/>
      <w:lvlText w:val="%2."/>
      <w:lvlJc w:val="left"/>
      <w:pPr>
        <w:ind w:left="2497" w:hanging="721"/>
      </w:pPr>
      <w:rPr>
        <w:rFonts w:ascii="Cambria" w:eastAsia="Cambria" w:hAnsi="Cambria" w:cs="Cambria"/>
        <w:color w:val="17365D"/>
        <w:sz w:val="52"/>
        <w:szCs w:val="52"/>
      </w:rPr>
    </w:lvl>
    <w:lvl w:ilvl="2">
      <w:start w:val="1"/>
      <w:numFmt w:val="decimal"/>
      <w:lvlText w:val="%3)"/>
      <w:lvlJc w:val="left"/>
      <w:pPr>
        <w:ind w:left="3601" w:hanging="1105"/>
      </w:pPr>
      <w:rPr>
        <w:rFonts w:ascii="Cambria" w:eastAsia="Cambria" w:hAnsi="Cambria" w:cs="Cambria"/>
        <w:sz w:val="28"/>
        <w:szCs w:val="28"/>
      </w:rPr>
    </w:lvl>
    <w:lvl w:ilvl="3">
      <w:numFmt w:val="bullet"/>
      <w:lvlText w:val="▪"/>
      <w:lvlJc w:val="left"/>
      <w:pPr>
        <w:ind w:left="461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4">
      <w:numFmt w:val="bullet"/>
      <w:lvlText w:val="•"/>
      <w:lvlJc w:val="left"/>
      <w:pPr>
        <w:ind w:left="4620" w:hanging="360"/>
      </w:pPr>
    </w:lvl>
    <w:lvl w:ilvl="5">
      <w:numFmt w:val="bullet"/>
      <w:lvlText w:val="•"/>
      <w:lvlJc w:val="left"/>
      <w:pPr>
        <w:ind w:left="5834" w:hanging="360"/>
      </w:pPr>
    </w:lvl>
    <w:lvl w:ilvl="6">
      <w:numFmt w:val="bullet"/>
      <w:lvlText w:val="•"/>
      <w:lvlJc w:val="left"/>
      <w:pPr>
        <w:ind w:left="7048" w:hanging="360"/>
      </w:pPr>
    </w:lvl>
    <w:lvl w:ilvl="7">
      <w:numFmt w:val="bullet"/>
      <w:lvlText w:val="•"/>
      <w:lvlJc w:val="left"/>
      <w:pPr>
        <w:ind w:left="8262" w:hanging="360"/>
      </w:pPr>
    </w:lvl>
    <w:lvl w:ilvl="8">
      <w:numFmt w:val="bullet"/>
      <w:lvlText w:val="•"/>
      <w:lvlJc w:val="left"/>
      <w:pPr>
        <w:ind w:left="9476" w:hanging="360"/>
      </w:pPr>
    </w:lvl>
  </w:abstractNum>
  <w:abstractNum w:abstractNumId="9" w15:restartNumberingAfterBreak="0">
    <w:nsid w:val="5BB615F4"/>
    <w:multiLevelType w:val="multilevel"/>
    <w:tmpl w:val="ACDAD82A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1FE7A03"/>
    <w:multiLevelType w:val="hybridMultilevel"/>
    <w:tmpl w:val="4B3831B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74026D"/>
    <w:multiLevelType w:val="hybridMultilevel"/>
    <w:tmpl w:val="65C469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FF6138"/>
    <w:multiLevelType w:val="hybridMultilevel"/>
    <w:tmpl w:val="B6A66E3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0"/>
  </w:num>
  <w:num w:numId="5">
    <w:abstractNumId w:val="12"/>
  </w:num>
  <w:num w:numId="6">
    <w:abstractNumId w:val="0"/>
  </w:num>
  <w:num w:numId="7">
    <w:abstractNumId w:val="11"/>
  </w:num>
  <w:num w:numId="8">
    <w:abstractNumId w:val="6"/>
  </w:num>
  <w:num w:numId="9">
    <w:abstractNumId w:val="1"/>
  </w:num>
  <w:num w:numId="10">
    <w:abstractNumId w:val="3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2D"/>
    <w:rsid w:val="00133415"/>
    <w:rsid w:val="002B6D2D"/>
    <w:rsid w:val="003129A4"/>
    <w:rsid w:val="003D7E10"/>
    <w:rsid w:val="004A6012"/>
    <w:rsid w:val="004D60C1"/>
    <w:rsid w:val="005E5A64"/>
    <w:rsid w:val="00991762"/>
    <w:rsid w:val="009B54A9"/>
    <w:rsid w:val="00A32DC5"/>
    <w:rsid w:val="00CE3E84"/>
    <w:rsid w:val="00D11D56"/>
    <w:rsid w:val="00D5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6573"/>
  <w15:chartTrackingRefBased/>
  <w15:docId w15:val="{34E67210-6C5F-4C0C-9FA2-AE43220B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6D2D"/>
    <w:pPr>
      <w:widowControl w:val="0"/>
      <w:spacing w:after="0" w:line="360" w:lineRule="auto"/>
      <w:ind w:firstLine="720"/>
      <w:jc w:val="both"/>
    </w:pPr>
    <w:rPr>
      <w:rFonts w:ascii="Times New Roman" w:eastAsia="Cambria" w:hAnsi="Times New Roman" w:cs="Cambria"/>
      <w:sz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B6D2D"/>
    <w:pPr>
      <w:numPr>
        <w:numId w:val="3"/>
      </w:numPr>
      <w:outlineLvl w:val="0"/>
    </w:pPr>
    <w:rPr>
      <w:b/>
      <w:sz w:val="36"/>
      <w:szCs w:val="5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3E84"/>
    <w:pPr>
      <w:keepNext/>
      <w:keepLines/>
      <w:numPr>
        <w:ilvl w:val="1"/>
        <w:numId w:val="3"/>
      </w:numPr>
      <w:spacing w:before="40"/>
      <w:outlineLvl w:val="1"/>
    </w:pPr>
    <w:rPr>
      <w:rFonts w:eastAsiaTheme="majorEastAsia" w:cstheme="majorBidi"/>
      <w:b/>
      <w:i/>
      <w:color w:val="0D0D0D" w:themeColor="text1" w:themeTint="F2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2DC5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6D2D"/>
    <w:rPr>
      <w:rFonts w:ascii="Times New Roman" w:eastAsia="Cambria" w:hAnsi="Times New Roman" w:cs="Cambria"/>
      <w:b/>
      <w:sz w:val="36"/>
      <w:szCs w:val="52"/>
      <w:lang w:eastAsia="pl-PL"/>
    </w:rPr>
  </w:style>
  <w:style w:type="paragraph" w:styleId="Akapitzlist">
    <w:name w:val="List Paragraph"/>
    <w:basedOn w:val="Normalny"/>
    <w:uiPriority w:val="34"/>
    <w:qFormat/>
    <w:rsid w:val="002B6D2D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2B6D2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B6D2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B6D2D"/>
    <w:rPr>
      <w:rFonts w:ascii="Times New Roman" w:eastAsia="Cambria" w:hAnsi="Times New Roman" w:cs="Cambria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B6D2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B6D2D"/>
    <w:rPr>
      <w:rFonts w:ascii="Times New Roman" w:eastAsia="Cambria" w:hAnsi="Times New Roman" w:cs="Cambria"/>
      <w:b/>
      <w:bCs/>
      <w:sz w:val="20"/>
      <w:szCs w:val="20"/>
      <w:lang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2B6D2D"/>
    <w:pPr>
      <w:spacing w:line="240" w:lineRule="auto"/>
      <w:ind w:firstLine="0"/>
    </w:pPr>
    <w:rPr>
      <w:iCs/>
      <w:sz w:val="22"/>
      <w:szCs w:val="18"/>
    </w:rPr>
  </w:style>
  <w:style w:type="paragraph" w:styleId="Bezodstpw">
    <w:name w:val="No Spacing"/>
    <w:aliases w:val="tabele"/>
    <w:uiPriority w:val="1"/>
    <w:qFormat/>
    <w:rsid w:val="002B6D2D"/>
    <w:pPr>
      <w:spacing w:after="0" w:line="240" w:lineRule="auto"/>
      <w:jc w:val="center"/>
    </w:pPr>
    <w:rPr>
      <w:rFonts w:ascii="Times New Roman" w:hAnsi="Times New Roman"/>
    </w:rPr>
  </w:style>
  <w:style w:type="table" w:styleId="Tabela-Siatka">
    <w:name w:val="Table Grid"/>
    <w:basedOn w:val="Standardowy"/>
    <w:uiPriority w:val="59"/>
    <w:rsid w:val="002B6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CE3E84"/>
    <w:rPr>
      <w:rFonts w:ascii="Times New Roman" w:eastAsiaTheme="majorEastAsia" w:hAnsi="Times New Roman" w:cstheme="majorBidi"/>
      <w:b/>
      <w:i/>
      <w:color w:val="0D0D0D" w:themeColor="text1" w:themeTint="F2"/>
      <w:sz w:val="28"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2D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A32DC5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character" w:styleId="Pogrubienie">
    <w:name w:val="Strong"/>
    <w:basedOn w:val="Domylnaczcionkaakapitu"/>
    <w:uiPriority w:val="22"/>
    <w:qFormat/>
    <w:rsid w:val="00A32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3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3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4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386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projektu Zaliczone</dc:title>
  <dc:subject/>
  <dc:creator>Szymon Przybysz; Iwona Figas; Jarek Antczak; Emil Kosicki</dc:creator>
  <cp:keywords/>
  <dc:description/>
  <cp:lastModifiedBy>Zespół Zaliczone</cp:lastModifiedBy>
  <cp:revision>8</cp:revision>
  <dcterms:created xsi:type="dcterms:W3CDTF">2024-12-02T10:07:00Z</dcterms:created>
  <dcterms:modified xsi:type="dcterms:W3CDTF">2025-01-15T12:25:00Z</dcterms:modified>
</cp:coreProperties>
</file>