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242424"/>
          <w:sz w:val="40"/>
        </w:rPr>
        <w:t>ESG TEST - Projekt budowlany Metro Polnoc 2025</w:t>
      </w:r>
    </w:p>
    <w:p>
      <w:pPr>
        <w:jc w:val="center"/>
      </w:pPr>
      <w:r>
        <w:rPr>
          <w:rFonts w:ascii="Aptos" w:hAnsi="Aptos"/>
          <w:b w:val="0"/>
          <w:color w:val="585858"/>
          <w:sz w:val="22"/>
        </w:rPr>
        <w:t>Fikcyjny dokument wsadowy do testow raportow Environmental, Social i Governance</w:t>
      </w:r>
    </w:p>
    <w:p/>
    <w:p>
      <w:pPr>
        <w:pStyle w:val="Heading2"/>
      </w:pPr>
      <w:r>
        <w:rPr>
          <w:rFonts w:ascii="Aptos" w:hAnsi="Aptos"/>
          <w:b/>
          <w:color w:val="2D2D2D"/>
          <w:sz w:val="26"/>
        </w:rPr>
        <w:t>Nota testowa dla parsera</w:t>
      </w:r>
    </w:p>
    <w:p>
      <w:pPr>
        <w:spacing w:after="120"/>
      </w:pPr>
      <w:r>
        <w:rPr>
          <w:rFonts w:ascii="Aptos" w:hAnsi="Aptos"/>
          <w:b w:val="0"/>
          <w:sz w:val="21"/>
        </w:rPr>
        <w:t>Ten dokument zawiera fikcyjne dane testowe. Kluczowe wartosci ESG sa celowo zapisane w normalnych akapitach, aby parser DOCX mogl je wyciagnac jako tekst do wektorow i RAG. Tabele sa tylko dodatkiem wizualnym.</w:t>
      </w:r>
    </w:p>
    <w:p>
      <w:pPr>
        <w:spacing w:after="120"/>
      </w:pPr>
      <w:r>
        <w:rPr>
          <w:rFonts w:ascii="Aptos" w:hAnsi="Aptos"/>
          <w:b w:val="0"/>
          <w:sz w:val="21"/>
        </w:rPr>
        <w:t>Sugerowany test: wgrac dokument przez panel plikow, uruchomic generowanie raportu ESG oraz osobno tryby Environmental, Social i Governance, a potem pobrac PDF i sprawdzic, czy pojawiaja sie dane, zrodla oraz polskie znaki.</w:t>
      </w:r>
    </w:p>
    <w:p>
      <w:pPr>
        <w:pStyle w:val="Heading1"/>
      </w:pPr>
      <w:r>
        <w:rPr>
          <w:rFonts w:ascii="Aptos" w:hAnsi="Aptos"/>
          <w:b/>
          <w:color w:val="2D2D2D"/>
          <w:sz w:val="32"/>
        </w:rPr>
        <w:t>Profil projektu</w:t>
      </w:r>
    </w:p>
    <w:p>
      <w:pPr>
        <w:spacing w:after="120"/>
      </w:pPr>
      <w:r>
        <w:rPr>
          <w:rFonts w:ascii="Aptos" w:hAnsi="Aptos"/>
          <w:b w:val="0"/>
          <w:sz w:val="21"/>
        </w:rPr>
        <w:t>Spolka TestBuild S.A. realizuje kontrakt infrastrukturalny Metro Polnoc 2025 obejmujacy budowe dwoch stacji, tunelu technicznego, zaplecza serwisowego i przebudowe ukladu drogowego. Okres raportowania: 1 stycznia 2025 - 31 grudnia 2025.</w:t>
      </w:r>
    </w:p>
    <w:p>
      <w:pPr>
        <w:spacing w:after="120"/>
      </w:pPr>
      <w:r>
        <w:rPr>
          <w:rFonts w:ascii="Aptos" w:hAnsi="Aptos"/>
          <w:b w:val="0"/>
          <w:sz w:val="21"/>
        </w:rPr>
        <w:t>Projekt zatrudnia bezposrednio 486 osob i korzysta z 74 aktywnych podwykonawcow. W szczycie prac na placu budowy przebywa 720 osob dziennie, wlaczajac operatorow maszyn, zespoly betonowe, elektrykow, geodetow i nadzor BHP.</w:t>
      </w:r>
    </w:p>
    <w:p>
      <w:pPr>
        <w:spacing w:after="120"/>
      </w:pPr>
      <w:r>
        <w:rPr>
          <w:rFonts w:ascii="Aptos" w:hAnsi="Aptos"/>
          <w:b w:val="0"/>
          <w:sz w:val="21"/>
        </w:rPr>
        <w:t>Dokument zawiera dane przekrojowe dla wszystkich filarow ESG. Warto?ci sa sp?jne liczbowo, ale fikcyjne, wiec nadaja sie tylko do testow parsera, RAG, generowania raportu i eksportu PDF.</w:t>
      </w:r>
    </w:p>
    <w:p>
      <w:pPr>
        <w:pStyle w:val="Heading1"/>
      </w:pPr>
      <w:r>
        <w:rPr>
          <w:rFonts w:ascii="Aptos" w:hAnsi="Aptos"/>
          <w:b/>
          <w:color w:val="146948"/>
          <w:sz w:val="32"/>
        </w:rPr>
        <w:t>Environmental - dane srodowiskowe</w:t>
      </w:r>
    </w:p>
    <w:p>
      <w:pPr>
        <w:spacing w:after="120"/>
      </w:pPr>
      <w:r>
        <w:rPr>
          <w:rFonts w:ascii="Aptos" w:hAnsi="Aptos"/>
          <w:b w:val="0"/>
          <w:sz w:val="21"/>
        </w:rPr>
        <w:t>Environmental: calkowite emisje gazow cieplarnianych projektu Metro Polnoc 2025 oszacowano na 18 420 tCO2e. Scope 1 wyniosl 4 860 tCO2e, Scope 2 wyniosl 2 140 tCO2e, a Scope 3 powiazany z materialami, transportem i podwykonawcami wyniosl 11 420 tCO2e.</w:t>
      </w:r>
    </w:p>
    <w:p>
      <w:pPr>
        <w:spacing w:after="120"/>
      </w:pPr>
      <w:r>
        <w:rPr>
          <w:rFonts w:ascii="Aptos" w:hAnsi="Aptos"/>
          <w:b w:val="0"/>
          <w:sz w:val="21"/>
        </w:rPr>
        <w:t>Zuzycie energii elektrycznej na placu budowy wynioslo 6 320 MWh, z czego 2 780 MWh pochodzi?o z gwarancji pochodzenia OZE. Zuzycie oleju napedowego przez agregaty, koparki i transport wewnetrzny wynioslo 1 920 000 litrow.</w:t>
      </w:r>
    </w:p>
    <w:p>
      <w:pPr>
        <w:spacing w:after="120"/>
      </w:pPr>
      <w:r>
        <w:rPr>
          <w:rFonts w:ascii="Aptos" w:hAnsi="Aptos"/>
          <w:b w:val="0"/>
          <w:sz w:val="21"/>
        </w:rPr>
        <w:t>Zuzycie wody technologicznej i socjalnej wynioslo 41 800 m3. Odzysk wody z mycia betoniarek i instalacji separacyjnych wyniosl 8 900 m3, czyli 21,3% lacznego zuzycia wody.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Odpady budowlane: 14 600 Mg, w tym 10 950 Mg przekazano do odzysku lub recyklingu; wskaznik recyklingu odpadow wyniosl 75,0%.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Beton niskoemisyjny C30/37 z dodatkiem popiolow lotnych stanowil 38% wolumenu betonu konstrukcyjnego, co obnizylo sladowy wspolczynnik emisji o szacowane 1 120 tCO2e.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Stal z deklarowana zawartoscia recyklatu stanowila 62% masy zbrojenia i elementow stalowych. Dokumentacja EPD byla dostepna dla 81% masy materialow krytycznych.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Monitoring pylu PM10 wykazal 7 przekroczen progow wewnetrznych, ale zadnego przekroczenia limitu administracyjnego. Wprowadzono zraszanie drog technologicznych i myjki kol.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Na odcinku zieleni miejskiej przesadzono 42 drzewa, nasadzono 116 nowych drzew i utworzono 2 400 m2 nawierzchni biologicznie czynnej.</w:t>
      </w:r>
    </w:p>
    <w:p>
      <w:pPr>
        <w:spacing w:after="120"/>
      </w:pPr>
      <w:r>
        <w:rPr>
          <w:rFonts w:ascii="Aptos" w:hAnsi="Aptos"/>
          <w:b w:val="0"/>
          <w:sz w:val="21"/>
        </w:rPr>
        <w:t>W ramach redukcji emisji Scope 1 wprowadzono harmonogram pracy agregatow z automatycznym wylaczaniem po 12 minutach bez obciazenia. Srednie dobowe zuzycie paliwa spadlo z 6 140 litrow w pierwszym kwartale do 5 260 litrow w czwartym kwartale.</w:t>
      </w:r>
    </w:p>
    <w:p>
      <w:pPr>
        <w:spacing w:after="120"/>
      </w:pPr>
      <w:r>
        <w:rPr>
          <w:rFonts w:ascii="Aptos" w:hAnsi="Aptos"/>
          <w:b w:val="0"/>
          <w:sz w:val="21"/>
        </w:rPr>
        <w:t>W zakresie Scope 2 spolka podpisala umowe na energie elektryczna z gwarancjami pochodzenia. Miesieczne faktury energetyczne sa archiwizowane w systemie zakupowym, a dane MWh przekazywane do zespolu raportowania ESG do 10 dnia nastepnego miesiaca.</w:t>
      </w:r>
    </w:p>
    <w:p>
      <w:pPr>
        <w:spacing w:after="120"/>
      </w:pPr>
      <w:r>
        <w:rPr>
          <w:rFonts w:ascii="Aptos" w:hAnsi="Aptos"/>
          <w:b w:val="0"/>
          <w:sz w:val="21"/>
        </w:rPr>
        <w:t>Najwieksze kategorie Scope 3 to cement, stal, transport urobku i dojazdy podwykonawcow. Dla transportu urobku obliczono 3 480 000 tonokilometrow, co odpowiada 1 960 tCO2e w metodologii wewnetrznej.</w:t>
      </w:r>
    </w:p>
    <w:p>
      <w:pPr>
        <w:spacing w:after="120"/>
      </w:pPr>
      <w:r>
        <w:rPr>
          <w:rFonts w:ascii="Aptos" w:hAnsi="Aptos"/>
          <w:b w:val="0"/>
          <w:sz w:val="21"/>
        </w:rPr>
        <w:t>Plan adaptacji do zmian klimatu obejmowal retencje wody opadowej, pompy awaryjne dla wykopu, scenariusze upalow i ograniczenie pracy w godzinach najwiekszego obciazenia termicznego. W 2025 roku odnotowano 14 dni z temperatura powyzej 32 stopni Celsjusza.</w:t>
      </w:r>
    </w:p>
    <w:p>
      <w:pPr>
        <w:pStyle w:val="Heading1"/>
      </w:pPr>
      <w:r>
        <w:rPr>
          <w:rFonts w:ascii="Aptos" w:hAnsi="Aptos"/>
          <w:b/>
          <w:color w:val="205493"/>
          <w:sz w:val="32"/>
        </w:rPr>
        <w:t>Social - dane spoleczne i BHP</w:t>
      </w:r>
    </w:p>
    <w:p>
      <w:pPr>
        <w:spacing w:after="120"/>
      </w:pPr>
      <w:r>
        <w:rPr>
          <w:rFonts w:ascii="Aptos" w:hAnsi="Aptos"/>
          <w:b w:val="0"/>
          <w:sz w:val="21"/>
        </w:rPr>
        <w:t>Social: projekt Metro Polnoc 2025 zatrudnial 486 pracownikow etatowych i kontraktowych przypisanych bezposrednio do budowy. Kobiety stanowily 18% zespolu projektowego oraz 27% kadry inzynieryjnej i administracyjnej.</w:t>
      </w:r>
    </w:p>
    <w:p>
      <w:pPr>
        <w:spacing w:after="120"/>
      </w:pPr>
      <w:r>
        <w:rPr>
          <w:rFonts w:ascii="Aptos" w:hAnsi="Aptos"/>
          <w:b w:val="0"/>
          <w:sz w:val="21"/>
        </w:rPr>
        <w:t>Laczna liczba godzin szkoleniowych wyniosla 13 740 godzin, w tym 8 920 godzin stanowily szkolenia BHP, 1 840 godzin szkolenia wysokosciowe, a 1 260 godzin szkolenia z pracy w przestrzeniach zamknietych.</w:t>
      </w:r>
    </w:p>
    <w:p>
      <w:pPr>
        <w:spacing w:after="120"/>
      </w:pPr>
      <w:r>
        <w:rPr>
          <w:rFonts w:ascii="Aptos" w:hAnsi="Aptos"/>
          <w:b w:val="0"/>
          <w:sz w:val="21"/>
        </w:rPr>
        <w:t>W 2025 roku odnotowano 5 wypadkow rejestrowalnych, 1 wypadek ciezki, 0 wypadkow smiertelnych oraz 38 zdarzen potencjalnie wypadkowych. Wskaznik LTIFR wyniosl 2,8 na milion przepracowanych godzin.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Rotacja pracownikow przypisanych do projektu wyniosla 9,6%, a absencja chorobowa wyniosla 3,1% lacznego czasu pracy.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Liczba kontroli BHP na placu budowy wyniosla 312, w tym 46 kontroli nocnych i 29 kontroli wspolnych z podwykonawcami.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Zgloszono 16 skarg spolecznosci lokalnej, z czego 11 dotyczylo halasu, 3 dotyczyly organizacji ruchu, a 2 dotyczyly pylu. Wszystkie skargi zamknieto w terminie do 14 dni.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Przeprowadzono 9 spotkan konsultacyjnych z mieszkancami i 4 warsztaty informacyjne dla szk?? w sasiedztwie inwestycji.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Program wolontariatu pracowniczego objal 164 godziny pracy na rzecz spolecznosci lokalnej, w tym remont przejscia dla pieszych przy szkole podstawowej.</w:t>
      </w:r>
    </w:p>
    <w:p>
      <w:pPr>
        <w:spacing w:after="120"/>
      </w:pPr>
      <w:r>
        <w:rPr>
          <w:rFonts w:ascii="Aptos" w:hAnsi="Aptos"/>
          <w:b w:val="0"/>
          <w:sz w:val="21"/>
        </w:rPr>
        <w:t>Po wypadku ciezkim na stanowisku montazu elementow prefabrykowanych wprowadzono dodatkowy przeglad zawiesi, codzienna kontrole uprawnien operatorow i obowiazkowy briefing przed kazdym podnoszeniem wielkogabarytowym.</w:t>
      </w:r>
    </w:p>
    <w:p>
      <w:pPr>
        <w:spacing w:after="120"/>
      </w:pPr>
      <w:r>
        <w:rPr>
          <w:rFonts w:ascii="Aptos" w:hAnsi="Aptos"/>
          <w:b w:val="0"/>
          <w:sz w:val="21"/>
        </w:rPr>
        <w:t>Dla podwykonawcow zastosowano system punktacji BHP. Podwykonawcy z wynikiem ponizej 75 punktow musieli przedstawic plan naprawczy, a przy wyniku ponizej 60 punktow prace wstrzymywano do czasu weryfikacji.</w:t>
      </w:r>
    </w:p>
    <w:p>
      <w:pPr>
        <w:spacing w:after="120"/>
      </w:pPr>
      <w:r>
        <w:rPr>
          <w:rFonts w:ascii="Aptos" w:hAnsi="Aptos"/>
          <w:b w:val="0"/>
          <w:sz w:val="21"/>
        </w:rPr>
        <w:t>W zakresie roznorodnosci i inkluzywnosci spolka prowadzila rekrutacje stazowe dla inzynierek budownictwa. W roku raportowym zatrudniono 12 stazystek i 8 stazystow, a 9 osob otrzymalo oferty stalej wspolpracy.</w:t>
      </w:r>
    </w:p>
    <w:p>
      <w:pPr>
        <w:spacing w:after="120"/>
      </w:pPr>
      <w:r>
        <w:rPr>
          <w:rFonts w:ascii="Aptos" w:hAnsi="Aptos"/>
          <w:b w:val="0"/>
          <w:sz w:val="21"/>
        </w:rPr>
        <w:t>Komunikacja spoleczna obejmowala newsletter o utrudnieniach drogowych, tablice informacyjne, dyzur telefoniczny oraz osobny adres e-mail. Sredni czas odpowiedzi na zgloszenie mieszkanca wyniosl 2,6 dnia roboczego.</w:t>
      </w:r>
    </w:p>
    <w:p>
      <w:pPr>
        <w:pStyle w:val="Heading1"/>
      </w:pPr>
      <w:r>
        <w:rPr>
          <w:rFonts w:ascii="Aptos" w:hAnsi="Aptos"/>
          <w:b/>
          <w:color w:val="684194"/>
          <w:sz w:val="32"/>
        </w:rPr>
        <w:t>Governance - lad korporacyjny i zgodnosc</w:t>
      </w:r>
    </w:p>
    <w:p>
      <w:pPr>
        <w:spacing w:after="120"/>
      </w:pPr>
      <w:r>
        <w:rPr>
          <w:rFonts w:ascii="Aptos" w:hAnsi="Aptos"/>
          <w:b w:val="0"/>
          <w:sz w:val="21"/>
        </w:rPr>
        <w:t>Governance: nadzor nad projektem Metro Polnoc 2025 sprawowal Komitet Sterujacy skladajacy sie z dyrektora kontraktu, dyrektora finansowego, kierownika BHP, compliance officer oraz przedstawiciela inwestora.</w:t>
      </w:r>
    </w:p>
    <w:p>
      <w:pPr>
        <w:spacing w:after="120"/>
      </w:pPr>
      <w:r>
        <w:rPr>
          <w:rFonts w:ascii="Aptos" w:hAnsi="Aptos"/>
          <w:b w:val="0"/>
          <w:sz w:val="21"/>
        </w:rPr>
        <w:t>W 2025 roku przeprowadzono 6 audytow wewnetrznych, 2 audyty dostawcow strategicznych oraz 1 audyt zewnetrzny procesu raportowania ESG. Nie stwierdzono istotnych naruszen prawa ani kar administracyjnych.</w:t>
      </w:r>
    </w:p>
    <w:p>
      <w:pPr>
        <w:spacing w:after="120"/>
      </w:pPr>
      <w:r>
        <w:rPr>
          <w:rFonts w:ascii="Aptos" w:hAnsi="Aptos"/>
          <w:b w:val="0"/>
          <w:sz w:val="21"/>
        </w:rPr>
        <w:t>Szkolenie antykorupcyjne i compliance ukonczylo 94% pracownikow projektu oraz 71% kluczowych podwykonawcow. Rejestr prezentow i konfliktow interesow zawieral 18 wpisow, wszystkie zamkniete po przegladzie compliance.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Whistleblowing: odnotowano 4 zgloszenia, w tym 2 dotyczace naruszen procedur zakupowych, 1 dotyczace mobbingu i 1 dotyczace nierzetelnej ewidencji czasu pracy.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Kary finansowe i sankcje: 0 PLN kar administracyjnych zwiazanych z ochrona srodowiska, BHP lub naruszeniem prawa pracy.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Zatwierdzono 126 nowych dostawcow, z czego 39 przeszlo rozszerzona ocene ESG i ankiete due diligence.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Polityka zakupowa wymagala minimum dwoch ofert dla zamowien powyzej 50 000 PLN i akceptacji compliance dla dostawcow wysokiego ryzyka.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Zgloszono 3 incydenty cyberbezpieczenstwa o niskiej istotnosci, wszystkie dotyczyly prob phishingu i zostaly zamkniete bez utraty danych.</w:t>
      </w:r>
    </w:p>
    <w:p>
      <w:pPr>
        <w:spacing w:after="120"/>
      </w:pPr>
      <w:r>
        <w:rPr>
          <w:rFonts w:ascii="Aptos" w:hAnsi="Aptos"/>
          <w:b w:val="0"/>
          <w:sz w:val="21"/>
        </w:rPr>
        <w:t>Proces zatwierdzania zmian projektowych byl oparty na elektronicznym obiegu dokumentow. Kazda zmiana powyzej 250 000 PLN wymagala akceptacji dyrektora kontraktu, controllingu i inwestora.</w:t>
      </w:r>
    </w:p>
    <w:p>
      <w:pPr>
        <w:spacing w:after="120"/>
      </w:pPr>
      <w:r>
        <w:rPr>
          <w:rFonts w:ascii="Aptos" w:hAnsi="Aptos"/>
          <w:b w:val="0"/>
          <w:sz w:val="21"/>
        </w:rPr>
        <w:t>W obszarze zgodnosci z regulacjami ESG zesp?? odnosi? sie do GRI, ESRS oraz wewnetrznej matrycy SASB dla sektora engineering and construction services. Macierz istotnosci zostala zatwierdzona 18 marca 2025 roku.</w:t>
      </w:r>
    </w:p>
    <w:p>
      <w:pPr>
        <w:spacing w:after="120"/>
      </w:pPr>
      <w:r>
        <w:rPr>
          <w:rFonts w:ascii="Aptos" w:hAnsi="Aptos"/>
          <w:b w:val="0"/>
          <w:sz w:val="21"/>
        </w:rPr>
        <w:t>Raportowanie danych odbywalo sie miesiecznie. Wlasciciele danych podpisywali oswiadczenie o kompletnosci danych, a korekty po zamknieciu miesiaca musialy byc opisane w rejestrze korekt.</w:t>
      </w:r>
    </w:p>
    <w:p>
      <w:pPr>
        <w:spacing w:after="120"/>
      </w:pPr>
      <w:r>
        <w:rPr>
          <w:rFonts w:ascii="Aptos" w:hAnsi="Aptos"/>
          <w:b w:val="0"/>
          <w:sz w:val="21"/>
        </w:rPr>
        <w:t>Najwazniejsze ryzyka governance to op?znienia w zatwierdzaniu podwykonawcow, ryzyko konfliktu interesow przy zakupach specjalistycznych oraz ryzyko niespojnosci danych miedzy dziennikiem budowy, fakturami i arkuszami raportowymi.</w:t>
      </w:r>
    </w:p>
    <w:p>
      <w:pPr>
        <w:pStyle w:val="Heading1"/>
      </w:pPr>
      <w:r>
        <w:rPr>
          <w:rFonts w:ascii="Aptos" w:hAnsi="Aptos"/>
          <w:b/>
          <w:color w:val="2D2D2D"/>
          <w:sz w:val="32"/>
        </w:rPr>
        <w:t>Tabela kontrolna metryk</w:t>
      </w:r>
    </w:p>
    <w:p>
      <w:pPr>
        <w:spacing w:after="120"/>
      </w:pPr>
      <w:r>
        <w:rPr>
          <w:rFonts w:ascii="Aptos" w:hAnsi="Aptos"/>
          <w:b w:val="0"/>
          <w:sz w:val="21"/>
        </w:rPr>
        <w:t>Te same dane sa ponizej w tabeli, ale najwazniejsze wartosci zapisano tez w akapitach powyzej, zeby system RAG mogl je stabilnie odnalezc.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rFonts w:ascii="Aptos" w:hAnsi="Aptos"/>
                <w:b/>
                <w:sz w:val="18"/>
              </w:rPr>
              <w:t>Obszar</w:t>
            </w:r>
          </w:p>
        </w:tc>
        <w:tc>
          <w:tcPr>
            <w:tcW w:type="dxa" w:w="2550"/>
          </w:tcPr>
          <w:p>
            <w:r>
              <w:rPr>
                <w:rFonts w:ascii="Aptos" w:hAnsi="Aptos"/>
                <w:b/>
                <w:sz w:val="18"/>
              </w:rPr>
              <w:t>Wskaznik</w:t>
            </w:r>
          </w:p>
        </w:tc>
        <w:tc>
          <w:tcPr>
            <w:tcW w:type="dxa" w:w="2550"/>
          </w:tcPr>
          <w:p>
            <w:r>
              <w:rPr>
                <w:rFonts w:ascii="Aptos" w:hAnsi="Aptos"/>
                <w:b/>
                <w:sz w:val="18"/>
              </w:rPr>
              <w:t>Wartosc</w:t>
            </w:r>
          </w:p>
        </w:tc>
        <w:tc>
          <w:tcPr>
            <w:tcW w:type="dxa" w:w="2550"/>
          </w:tcPr>
          <w:p>
            <w:r>
              <w:rPr>
                <w:rFonts w:ascii="Aptos" w:hAnsi="Aptos"/>
                <w:b/>
                <w:sz w:val="18"/>
              </w:rPr>
              <w:t>Komentarz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Environmental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Emisje calkowite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18 420 tCO2e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Scope 1: 4 860, Scope 2: 2 140, Scope 3: 11 420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Environmental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Zuzycie energii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6 320 MWh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2 780 MWh z gwarancjami pochodzenia OZE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Environmental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Odpady i recykling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14 600 Mg / 75,0%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10 950 Mg przekazano do odzysku lub recyklingu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Social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Zatrudnienie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486 osob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Kobiety 18% zespolu, 27% kadry inzynieryjnej i administracyjnej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Social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BHP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LTIFR 2,8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5 wypadkow rejestrowalnych, 0 smiertelnych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Social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Skargi lokalne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16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Wszystkie zamkniete do 14 dni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Governance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Audyty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9 lacznie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6 wewnetrznych, 2 dostawcow, 1 zewnetrzny ESG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Governance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Whistleblowing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4 zgloszenia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Wszystkie zbadane i zamkniete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Governance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Kary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0 PLN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Brak kar administracyjnych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color w:val="2D2D2D"/>
          <w:sz w:val="32"/>
        </w:rPr>
        <w:t>Dodatkowe obserwacje do raportu</w:t>
      </w:r>
    </w:p>
    <w:p>
      <w:pPr>
        <w:pStyle w:val="Heading2"/>
      </w:pPr>
      <w:r>
        <w:rPr>
          <w:rFonts w:ascii="Aptos" w:hAnsi="Aptos"/>
          <w:b/>
          <w:color w:val="2D2D2D"/>
          <w:sz w:val="26"/>
        </w:rPr>
        <w:t>Ryzyka srodowiskowe</w:t>
      </w:r>
    </w:p>
    <w:p>
      <w:pPr>
        <w:spacing w:after="120"/>
      </w:pPr>
      <w:r>
        <w:rPr>
          <w:rFonts w:ascii="Aptos" w:hAnsi="Aptos"/>
          <w:b w:val="0"/>
          <w:sz w:val="21"/>
        </w:rPr>
        <w:t>Najwiekszym ryzykiem srodowiskowym pozostaje emisja z materialow wysokoemisyjnych, szczegolnie cementu i stali. Rekomendacja dla raportu: pokazac trend redukcji, wskazac procent materialow z EPD oraz opisac plan zwiekszenia udzialu betonu niskoemisyjnego.</w:t>
      </w:r>
    </w:p>
    <w:p>
      <w:pPr>
        <w:spacing w:after="120"/>
      </w:pPr>
      <w:r>
        <w:rPr>
          <w:rFonts w:ascii="Aptos" w:hAnsi="Aptos"/>
          <w:b w:val="0"/>
          <w:sz w:val="21"/>
        </w:rPr>
        <w:t>Drugim ryzykiem jest gospodarka woda w okresach suszy i intensywnych opadow. Raport powinien wskazac 8 900 m3 odzyskanej wody oraz procedury dla deszczy nawalnych.</w:t>
      </w:r>
    </w:p>
    <w:p>
      <w:pPr>
        <w:pStyle w:val="Heading2"/>
      </w:pPr>
      <w:r>
        <w:rPr>
          <w:rFonts w:ascii="Aptos" w:hAnsi="Aptos"/>
          <w:b/>
          <w:color w:val="2D2D2D"/>
          <w:sz w:val="26"/>
        </w:rPr>
        <w:t>Ryzyka spoleczne</w:t>
      </w:r>
    </w:p>
    <w:p>
      <w:pPr>
        <w:spacing w:after="120"/>
      </w:pPr>
      <w:r>
        <w:rPr>
          <w:rFonts w:ascii="Aptos" w:hAnsi="Aptos"/>
          <w:b w:val="0"/>
          <w:sz w:val="21"/>
        </w:rPr>
        <w:t>Najbardziej istotne ryzyko spoleczne dotyczy BHP przy pracach pod ziemia i podnoszeniach wielkogabarytowych. W PDF warto wyroznic LTIFR 2,8 oraz brak wypadkow smiertelnych, ale nie pomijac jednego wypadku ciezkiego.</w:t>
      </w:r>
    </w:p>
    <w:p>
      <w:pPr>
        <w:spacing w:after="120"/>
      </w:pPr>
      <w:r>
        <w:rPr>
          <w:rFonts w:ascii="Aptos" w:hAnsi="Aptos"/>
          <w:b w:val="0"/>
          <w:sz w:val="21"/>
        </w:rPr>
        <w:t>Komunikacja z mieszkancami byla aktywna, ale skargi dotyczace halasu pokazuja potrzebe dalszego monitoringu nocnych prac i tras transportu.</w:t>
      </w:r>
    </w:p>
    <w:p>
      <w:pPr>
        <w:pStyle w:val="Heading2"/>
      </w:pPr>
      <w:r>
        <w:rPr>
          <w:rFonts w:ascii="Aptos" w:hAnsi="Aptos"/>
          <w:b/>
          <w:color w:val="2D2D2D"/>
          <w:sz w:val="26"/>
        </w:rPr>
        <w:t>Ryzyka governance</w:t>
      </w:r>
    </w:p>
    <w:p>
      <w:pPr>
        <w:spacing w:after="120"/>
      </w:pPr>
      <w:r>
        <w:rPr>
          <w:rFonts w:ascii="Aptos" w:hAnsi="Aptos"/>
          <w:b w:val="0"/>
          <w:sz w:val="21"/>
        </w:rPr>
        <w:t>Najwazniejsze ryzyko governance dotyczy podwykonawcow i zakupow. Raport powinien pokazac liczbe dostawcow po ocenie ESG oraz stosowanie progow akceptacji compliance.</w:t>
      </w:r>
    </w:p>
    <w:p>
      <w:pPr>
        <w:spacing w:after="120"/>
      </w:pPr>
      <w:r>
        <w:rPr>
          <w:rFonts w:ascii="Aptos" w:hAnsi="Aptos"/>
          <w:b w:val="0"/>
          <w:sz w:val="21"/>
        </w:rPr>
        <w:t>Dla wiarygodnosci PDF warto dodac cytowania uzytych fragmentow oraz oddzielic dane potwierdzone od szacunkowych.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2D2D2D"/>
          <w:sz w:val="32"/>
        </w:rPr>
        <w:t>Slownik i frazy wyszukiwawcze</w:t>
      </w:r>
    </w:p>
    <w:p>
      <w:pPr>
        <w:spacing w:after="120"/>
      </w:pPr>
      <w:r>
        <w:rPr>
          <w:rFonts w:ascii="Aptos" w:hAnsi="Aptos"/>
          <w:b w:val="0"/>
          <w:sz w:val="21"/>
        </w:rPr>
        <w:t>Environmental: emisje CO2, tCO2e, Scope 1, Scope 2, Scope 3, energia MWh, woda m3, odpady Mg, recykling, beton niskoemisyjny, stal z recyklingu, bioroznorodnosc, pyl PM10.</w:t>
      </w:r>
    </w:p>
    <w:p>
      <w:pPr>
        <w:spacing w:after="120"/>
      </w:pPr>
      <w:r>
        <w:rPr>
          <w:rFonts w:ascii="Aptos" w:hAnsi="Aptos"/>
          <w:b w:val="0"/>
          <w:sz w:val="21"/>
        </w:rPr>
        <w:t>Social: liczba pracownikow, szkolenia BHP, kobiety, mezczyzni, wypadki, LTIFR, rotacja, podwykonawcy, skargi spolecznosci, wolontariat, konsultacje lokalne.</w:t>
      </w:r>
    </w:p>
    <w:p>
      <w:pPr>
        <w:spacing w:after="120"/>
      </w:pPr>
      <w:r>
        <w:rPr>
          <w:rFonts w:ascii="Aptos" w:hAnsi="Aptos"/>
          <w:b w:val="0"/>
          <w:sz w:val="21"/>
        </w:rPr>
        <w:t>Governance: zarzad, rada nadzorcza, audyty, compliance, antykorupcja, whistleblowing, kary finansowe, etyka, dostawcy, cyberbezpieczenstwo, polityka zakupowa.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