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242424"/>
          <w:sz w:val="40"/>
        </w:rPr>
        <w:t>ESG TEST - Obwodnica Zachodnia i wezly drogowe 2025</w:t>
      </w:r>
    </w:p>
    <w:p>
      <w:pPr>
        <w:jc w:val="center"/>
      </w:pPr>
      <w:r>
        <w:rPr>
          <w:rFonts w:ascii="Aptos" w:hAnsi="Aptos"/>
          <w:b w:val="0"/>
          <w:color w:val="585858"/>
          <w:sz w:val="22"/>
        </w:rPr>
        <w:t>Fikcyjny dokument wsadowy do testow RAG, raportu i eksportu PDF</w:t>
      </w:r>
    </w:p>
    <w:p/>
    <w:p>
      <w:pPr>
        <w:pStyle w:val="Heading2"/>
      </w:pPr>
      <w:r>
        <w:rPr>
          <w:rFonts w:ascii="Aptos" w:hAnsi="Aptos"/>
          <w:b/>
          <w:color w:val="2D2D2D"/>
          <w:sz w:val="26"/>
        </w:rPr>
        <w:t>Nota testowa dla parsera</w:t>
      </w:r>
    </w:p>
    <w:p>
      <w:pPr>
        <w:spacing w:after="120"/>
      </w:pPr>
      <w:r>
        <w:rPr>
          <w:rFonts w:ascii="Aptos" w:hAnsi="Aptos"/>
          <w:b w:val="0"/>
          <w:sz w:val="21"/>
        </w:rPr>
        <w:t>Ten dokument zawiera fikcyjne dane testowe. Kluczowe wartosci ESG sa celowo zapisane w normalnych akapitach, aby parser DOCX mogl je wyciagnac jako tekst do wektorow i RAG. Tabele sa tylko dodatkiem wizualnym.</w:t>
      </w:r>
    </w:p>
    <w:p>
      <w:pPr>
        <w:spacing w:after="120"/>
      </w:pPr>
      <w:r>
        <w:rPr>
          <w:rFonts w:ascii="Aptos" w:hAnsi="Aptos"/>
          <w:b w:val="0"/>
          <w:sz w:val="21"/>
        </w:rPr>
        <w:t>Sugerowany test: wgrac dokument przez panel plikow, uruchomic generowanie raportu ESG oraz osobno tryby Environmental, Social i Governance, a potem pobrac PDF i sprawdzic, czy pojawiaja sie dane, zrodla oraz polskie znaki.</w:t>
      </w:r>
    </w:p>
    <w:p>
      <w:pPr>
        <w:pStyle w:val="Heading1"/>
      </w:pPr>
      <w:r>
        <w:rPr>
          <w:rFonts w:ascii="Aptos" w:hAnsi="Aptos"/>
          <w:b/>
          <w:color w:val="2D2D2D"/>
          <w:sz w:val="32"/>
        </w:rPr>
        <w:t>Profil projektu</w:t>
      </w:r>
    </w:p>
    <w:p>
      <w:pPr>
        <w:spacing w:after="120"/>
      </w:pPr>
      <w:r>
        <w:rPr>
          <w:rFonts w:ascii="Aptos" w:hAnsi="Aptos"/>
          <w:b w:val="0"/>
          <w:sz w:val="21"/>
        </w:rPr>
        <w:t>Spolka GreenRoad sp. z o.o. prowadzi projekt Obwodnica Zachodnia 2025 obejmujacy 18,4 km drogi, trzy wezly, dwa mosty, ekrany akustyczne i przebudowe sieci wodno-kanalizacyjnej. Okres raportowania: rok kalendarzowy 2025.</w:t>
      </w:r>
    </w:p>
    <w:p>
      <w:pPr>
        <w:spacing w:after="120"/>
      </w:pPr>
      <w:r>
        <w:rPr>
          <w:rFonts w:ascii="Aptos" w:hAnsi="Aptos"/>
          <w:b w:val="0"/>
          <w:sz w:val="21"/>
        </w:rPr>
        <w:t>Projekt jest realizowany w formule generalnego wykonawstwa. Bezposrednio zaangazowano 352 pracownikow, 58 podwykonawcow i 214 jednostek sprzetowych. Prace prowadzono rownolegle na szesciu odcinkach roboczych.</w:t>
      </w:r>
    </w:p>
    <w:p>
      <w:pPr>
        <w:spacing w:after="120"/>
      </w:pPr>
      <w:r>
        <w:rPr>
          <w:rFonts w:ascii="Aptos" w:hAnsi="Aptos"/>
          <w:b w:val="0"/>
          <w:sz w:val="21"/>
        </w:rPr>
        <w:t>Dokument ma sluzyc jako drugi, niezalezny zestaw danych testowych. Zawiera wszystkie trzy filary ESG, tak aby raport Environmental, Social i Governance mogl znalezc liczby, ryzyka, dzialania naprawcze i kontekst branzy budowlanej.</w:t>
      </w:r>
    </w:p>
    <w:p>
      <w:pPr>
        <w:pStyle w:val="Heading1"/>
      </w:pPr>
      <w:r>
        <w:rPr>
          <w:rFonts w:ascii="Aptos" w:hAnsi="Aptos"/>
          <w:b/>
          <w:color w:val="146948"/>
          <w:sz w:val="32"/>
        </w:rPr>
        <w:t>Environmental - dane srodowiskowe</w:t>
      </w:r>
    </w:p>
    <w:p>
      <w:pPr>
        <w:spacing w:after="120"/>
      </w:pPr>
      <w:r>
        <w:rPr>
          <w:rFonts w:ascii="Aptos" w:hAnsi="Aptos"/>
          <w:b w:val="0"/>
          <w:sz w:val="21"/>
        </w:rPr>
        <w:t>Environmental: calkowity slad weglowy projektu Obwodnica Zachodnia 2025 oszacowano na 24 760 tCO2e. Scope 1 wyniosl 6 920 tCO2e, Scope 2 wyniosl 1 180 tCO2e, a Scope 3 wyniosl 16 660 tCO2e, glownie przez asfalt, cement, stal, transport kruszyw i prace podwykonawcow.</w:t>
      </w:r>
    </w:p>
    <w:p>
      <w:pPr>
        <w:spacing w:after="120"/>
      </w:pPr>
      <w:r>
        <w:rPr>
          <w:rFonts w:ascii="Aptos" w:hAnsi="Aptos"/>
          <w:b w:val="0"/>
          <w:sz w:val="21"/>
        </w:rPr>
        <w:t>Zuzycie energii elektrycznej wynioslo 3 980 MWh, z czego 1 540 MWh pochodzi?o z OZE. Zuzycie paliw plynnych wynioslo 2 640 000 litrow oleju napedowego i 86 000 litrow benzyny w sprzecie pomocniczym.</w:t>
      </w:r>
    </w:p>
    <w:p>
      <w:pPr>
        <w:spacing w:after="120"/>
      </w:pPr>
      <w:r>
        <w:rPr>
          <w:rFonts w:ascii="Aptos" w:hAnsi="Aptos"/>
          <w:b w:val="0"/>
          <w:sz w:val="21"/>
        </w:rPr>
        <w:t>Zuzycie wody wynioslo 26 300 m3. Retencja tymczasowa i zbiorniki sedymentacyjne przechwycily 11 600 m3 wod opadowych, a 6 200 m3 wykorzystano ponownie do zraszania i stabilizacji gruntu.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Odpady budowlane i rozbiorkowe: 22 900 Mg, w tym 18 200 Mg przekazano do ponownego wykorzystania lub recyklingu; wskaznik odzysku wyniosl 79,5%.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Frez asfaltowy z rozbiorek wykorzystano ponownie w warstwach pomocniczych w ilosci 8 750 Mg, co ograniczylo transport kruszyw naturalnych o 312 kursow ciezarowych.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Wykonano przejscia dla zwierzat, 14 przepustow ekologicznych oraz 6,8 km ogrodzen naprowadzajacych. Monitoring bioroznorodnosci objal plazy, ptaki i nietoperze.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Emisje halasu ograniczano przez czasowe ekrany, harmonogram prac dziennych i strefy bez pracy nocnej przy zabudowie mieszkaniowej.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W projekcie zastosowano 41% mieszanki mineralno-asfaltowej z dodatkiem materialu z recyklingu oraz 23% kruszyw lokalnych z promienia do 50 km.</w:t>
      </w:r>
    </w:p>
    <w:p>
      <w:pPr>
        <w:spacing w:after="120"/>
      </w:pPr>
      <w:r>
        <w:rPr>
          <w:rFonts w:ascii="Aptos" w:hAnsi="Aptos"/>
          <w:b w:val="0"/>
          <w:sz w:val="21"/>
        </w:rPr>
        <w:t>Najwieksza intensywnosc emisji przypadala na produkcje i transport asfaltu. Sredni wspolczynnik emisji na kilometr drogi wyniosl 1 346 tCO2e/km, ale po uwzglednieniu recyklingu frezu asfaltowego uniknieto okolo 1 480 tCO2e emisji posrednich.</w:t>
      </w:r>
    </w:p>
    <w:p>
      <w:pPr>
        <w:spacing w:after="120"/>
      </w:pPr>
      <w:r>
        <w:rPr>
          <w:rFonts w:ascii="Aptos" w:hAnsi="Aptos"/>
          <w:b w:val="0"/>
          <w:sz w:val="21"/>
        </w:rPr>
        <w:t>W zakresie ochrony wod zastosowano osadniki, separatory substancji ropopochodnych i codzienne inspekcje rowow odwadniajacych. W roku raportowym odnotowano 2 niewielkie wycieki hydrauliczne, oba usunieto w ciagu 6 godzin bez przekroczen w badaniach wody.</w:t>
      </w:r>
    </w:p>
    <w:p>
      <w:pPr>
        <w:spacing w:after="120"/>
      </w:pPr>
      <w:r>
        <w:rPr>
          <w:rFonts w:ascii="Aptos" w:hAnsi="Aptos"/>
          <w:b w:val="0"/>
          <w:sz w:val="21"/>
        </w:rPr>
        <w:t>Plan kompensacji przyrodniczej obejmuje nasadzenie 8 400 krzewow, 920 drzew oraz odtworzenie 1,6 ha siedlisk lakowych. Pierwsza kontrola przyrodnicza wykazala 87% przyjecia nasadzen.</w:t>
      </w:r>
    </w:p>
    <w:p>
      <w:pPr>
        <w:spacing w:after="120"/>
      </w:pPr>
      <w:r>
        <w:rPr>
          <w:rFonts w:ascii="Aptos" w:hAnsi="Aptos"/>
          <w:b w:val="0"/>
          <w:sz w:val="21"/>
        </w:rPr>
        <w:t>Dane srodowiskowe sa gotowe do raportowania wedlug GRI 302 Energia, GRI 303 Woda, GRI 305 Emisje i GRI 306 Odpady. Dla ESRS szczegolnie istotne sa E1 klimat, E3 woda i E5 gospodarka obiegu zamknietego.</w:t>
      </w:r>
    </w:p>
    <w:p>
      <w:pPr>
        <w:pStyle w:val="Heading1"/>
      </w:pPr>
      <w:r>
        <w:rPr>
          <w:rFonts w:ascii="Aptos" w:hAnsi="Aptos"/>
          <w:b/>
          <w:color w:val="205493"/>
          <w:sz w:val="32"/>
        </w:rPr>
        <w:t>Social - dane spoleczne i BHP</w:t>
      </w:r>
    </w:p>
    <w:p>
      <w:pPr>
        <w:spacing w:after="120"/>
      </w:pPr>
      <w:r>
        <w:rPr>
          <w:rFonts w:ascii="Aptos" w:hAnsi="Aptos"/>
          <w:b w:val="0"/>
          <w:sz w:val="21"/>
        </w:rPr>
        <w:t>Social: projekt Obwodnica Zachodnia 2025 zatrudnial 352 osoby bezposrednio, w tym 64 kobiety i 288 mezczyzn. Udzial kobiet wyniosl 18,2% calego zespolu oraz 31% w zespole projektowym biura budowy.</w:t>
      </w:r>
    </w:p>
    <w:p>
      <w:pPr>
        <w:spacing w:after="120"/>
      </w:pPr>
      <w:r>
        <w:rPr>
          <w:rFonts w:ascii="Aptos" w:hAnsi="Aptos"/>
          <w:b w:val="0"/>
          <w:sz w:val="21"/>
        </w:rPr>
        <w:t>Laczna liczba godzin szkoleniowych wyniosla 9 860 godzin. Szkolenia BHP stanowily 6 740 godzin, szkolenia z ruchem drogowym 1 120 godzin, a szkolenia srodowiskowe dotyczace wyciekow i ochrony gatunkow 780 godzin.</w:t>
      </w:r>
    </w:p>
    <w:p>
      <w:pPr>
        <w:spacing w:after="120"/>
      </w:pPr>
      <w:r>
        <w:rPr>
          <w:rFonts w:ascii="Aptos" w:hAnsi="Aptos"/>
          <w:b w:val="0"/>
          <w:sz w:val="21"/>
        </w:rPr>
        <w:t>W 2025 roku wystapily 3 wypadki rejestrowalne, 0 wypadkow ciezkich, 0 wypadkow smiertelnych oraz 44 zdarzenia potencjalnie wypadkowe. Wskaznik LTIFR wyniosl 1,9 na milion przepracowanych godzin.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Rotacja pracownikow projektu wyniosla 7,4%, a srednia absencja chorobowa wyniosla 2,7% czasu pracy.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Przeprowadzono 228 inspekcji BHP, 18 cwiczen ewakuacyjnych, 34 kontrole zabezpieczenia wykopow i 51 kontroli ruchu tymczasowego.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Zgloszono 23 skargi mieszkancow, w tym 13 dotyczacych objazdow, 6 dotyczacych halasu, 3 dotyczace zapylenia i 1 dotyczaca dojazdu do posesji. Zamknieto 21 spraw, 2 pozostaly w monitoringu.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Zorganizowano 7 spotkan z samorzadami, 5 dyzurow informacyjnych i 2 warsztaty z lokalnymi przedsiebiorcami na temat logistyki dostaw.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Program lokalnego zatrudnienia objal 38 osob z powiatu inwestycji, a 12 uczniow technikum budowlanego odbylo praktyki zawodowe na projekcie.</w:t>
      </w:r>
    </w:p>
    <w:p>
      <w:pPr>
        <w:spacing w:after="120"/>
      </w:pPr>
      <w:r>
        <w:rPr>
          <w:rFonts w:ascii="Aptos" w:hAnsi="Aptos"/>
          <w:b w:val="0"/>
          <w:sz w:val="21"/>
        </w:rPr>
        <w:t>Najczestsze przyczyny zdarzen potencjalnie wypadkowych to praca w poblizu ruchu publicznego, cofanie pojazdow i tymczasowe przejscia dla pieszych. W odpowiedzi wdrozono dodatkowych sygnalistow, oznakowanie LED i zakaz cofania bez asekuracji w strefach mieszanych.</w:t>
      </w:r>
    </w:p>
    <w:p>
      <w:pPr>
        <w:spacing w:after="120"/>
      </w:pPr>
      <w:r>
        <w:rPr>
          <w:rFonts w:ascii="Aptos" w:hAnsi="Aptos"/>
          <w:b w:val="0"/>
          <w:sz w:val="21"/>
        </w:rPr>
        <w:t>Dostepnosc placu budowy dla osob z niepelnosprawnosciami uwzgledniono w planach tymczasowej organizacji ruchu. Przejscia tymczasowe mialy obnizone krawezniki, a skargi dotyczace dostepu byly traktowane jako priorytetowe.</w:t>
      </w:r>
    </w:p>
    <w:p>
      <w:pPr>
        <w:spacing w:after="120"/>
      </w:pPr>
      <w:r>
        <w:rPr>
          <w:rFonts w:ascii="Aptos" w:hAnsi="Aptos"/>
          <w:b w:val="0"/>
          <w:sz w:val="21"/>
        </w:rPr>
        <w:t>Relacje ze spolecznoscia lokalna oceniono jako srednie, poniewaz liczba skarg byla wyzsza niz w projekcie Metro Polnoc. Rekomendacja: w raporcie PDF pokazac trend odpowiedzi, status spraw otwartych i konkretne dzialania ograniczajace uciazliwosci.</w:t>
      </w:r>
    </w:p>
    <w:p>
      <w:pPr>
        <w:spacing w:after="120"/>
      </w:pPr>
      <w:r>
        <w:rPr>
          <w:rFonts w:ascii="Aptos" w:hAnsi="Aptos"/>
          <w:b w:val="0"/>
          <w:sz w:val="21"/>
        </w:rPr>
        <w:t>W zakresie praw czlowieka i pracy podwykonawcow przeprowadzono 31 kontroli dokumentacji czasu pracy i legalnosci zatrudnienia. Nie wykryto pracy przymusowej ani pracy dzieci, ale 4 podwykonawcow musialo poprawic ewidencje godzin.</w:t>
      </w:r>
    </w:p>
    <w:p>
      <w:pPr>
        <w:pStyle w:val="Heading1"/>
      </w:pPr>
      <w:r>
        <w:rPr>
          <w:rFonts w:ascii="Aptos" w:hAnsi="Aptos"/>
          <w:b/>
          <w:color w:val="684194"/>
          <w:sz w:val="32"/>
        </w:rPr>
        <w:t>Governance - lad korporacyjny i zgodnosc</w:t>
      </w:r>
    </w:p>
    <w:p>
      <w:pPr>
        <w:spacing w:after="120"/>
      </w:pPr>
      <w:r>
        <w:rPr>
          <w:rFonts w:ascii="Aptos" w:hAnsi="Aptos"/>
          <w:b w:val="0"/>
          <w:sz w:val="21"/>
        </w:rPr>
        <w:t>Governance: projektem Obwodnica Zachodnia zarzadzal Komitet Kontraktu zlozony z kierownika projektu, dyrektora technicznego, kierownika ds. jakosci, kierownika BHP, environmental managera i przedstawiciela compliance.</w:t>
      </w:r>
    </w:p>
    <w:p>
      <w:pPr>
        <w:spacing w:after="120"/>
      </w:pPr>
      <w:r>
        <w:rPr>
          <w:rFonts w:ascii="Aptos" w:hAnsi="Aptos"/>
          <w:b w:val="0"/>
          <w:sz w:val="21"/>
        </w:rPr>
        <w:t>W 2025 roku przeprowadzono 4 audyty wewnetrzne, 3 audyty dostawcow kruszyw i asfaltu, 2 audyty jakosci dokumentacji oraz 1 przeglad zewnetrzny procedur ESG. Stwierdzono 11 niezgodnosci drobnych i 0 niezgodnosci krytycznych.</w:t>
      </w:r>
    </w:p>
    <w:p>
      <w:pPr>
        <w:spacing w:after="120"/>
      </w:pPr>
      <w:r>
        <w:rPr>
          <w:rFonts w:ascii="Aptos" w:hAnsi="Aptos"/>
          <w:b w:val="0"/>
          <w:sz w:val="21"/>
        </w:rPr>
        <w:t>Szkolenie antykorupcyjne ukonczylo 89% pracownikow, szkolenie z kodeksu etyki 92%, a szkolenie z ochrony danych i cyberbezpieczenstwa 84%. Dla kadry kierowniczej przeprowadzono osobny warsztat o konfliktach interesow.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Whistleblowing: zarejestrowano 6 zgloszen, w tym 2 dotyczace zakupow, 2 dotyczace relacji z podwykonawcami, 1 dotyczace dyskryminacji i 1 dotyczace naruszenia zasad BHP.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Kary finansowe: projekt otrzymal 15 000 PLN kary umownej za opoznienie w przekazaniu raportu o organizacji ruchu; brak kar administracyjnych srodowiskowych i BHP.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Do bazy dostawcow dodano 94 firmy, z czego 27 przeszlo rozszerzona weryfikacje ESG, a 6 dostawcow otrzymalo status podwyzszonego ryzyka.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Procedura zakupowa wymagala zatwierdzenia zarzadu dla zamowien powyzej 500 000 PLN oraz deklaracji braku konfliktu interesow dla czlonkow komisji przetargowej.</w:t>
      </w:r>
    </w:p>
    <w:p>
      <w:pPr>
        <w:pStyle w:val="ListBullet"/>
        <w:spacing w:after="60"/>
      </w:pPr>
      <w:r>
        <w:rPr>
          <w:rFonts w:ascii="Aptos" w:hAnsi="Aptos"/>
          <w:b w:val="0"/>
          <w:sz w:val="21"/>
        </w:rPr>
        <w:t>Odnotowano 5 incydentow cyberbezpieczenstwa niskiej istotnosci i 1 incydent sredniej istotnosci zwiazany z nieuprawnionym udostepnieniem pliku harmonogramu. Incydent zamknieto po 9 dniach.</w:t>
      </w:r>
    </w:p>
    <w:p>
      <w:pPr>
        <w:spacing w:after="120"/>
      </w:pPr>
      <w:r>
        <w:rPr>
          <w:rFonts w:ascii="Aptos" w:hAnsi="Aptos"/>
          <w:b w:val="0"/>
          <w:sz w:val="21"/>
        </w:rPr>
        <w:t>Macierz odpowiedzialnosci RACI dla danych ESG przypisywala wlascicieli do emisji, energii, wody, odpadow, BHP, skarg spolecznych, dostawcow i compliance. Kazdy wlasciciel danych mial obowiazek miesiecznego potwierdzenia kompletnosci danych.</w:t>
      </w:r>
    </w:p>
    <w:p>
      <w:pPr>
        <w:spacing w:after="120"/>
      </w:pPr>
      <w:r>
        <w:rPr>
          <w:rFonts w:ascii="Aptos" w:hAnsi="Aptos"/>
          <w:b w:val="0"/>
          <w:sz w:val="21"/>
        </w:rPr>
        <w:t>W dokumentacji zarzadczej wymagano zapisu uzasadnienia dla zmian materialowych powyzej 100 000 PLN. Rejestr zmian zawieral 74 pozycje, z czego 19 mialo wplyw na harmonogram, a 8 mialo wplyw na budzet powyzej 250 000 PLN.</w:t>
      </w:r>
    </w:p>
    <w:p>
      <w:pPr>
        <w:spacing w:after="120"/>
      </w:pPr>
      <w:r>
        <w:rPr>
          <w:rFonts w:ascii="Aptos" w:hAnsi="Aptos"/>
          <w:b w:val="0"/>
          <w:sz w:val="21"/>
        </w:rPr>
        <w:t>Dla standardow raportowania rekomenduje sie opis GRI 2 Governance, GRI 205 Anti-corruption, GRI 403 Occupational Health and Safety oraz powiazanie z ESRS G1 Business Conduct. Dane sa gotowe do streszczenia w raporcie PDF.</w:t>
      </w:r>
    </w:p>
    <w:p>
      <w:pPr>
        <w:spacing w:after="120"/>
      </w:pPr>
      <w:r>
        <w:rPr>
          <w:rFonts w:ascii="Aptos" w:hAnsi="Aptos"/>
          <w:b w:val="0"/>
          <w:sz w:val="21"/>
        </w:rPr>
        <w:t>Najwazniejszym ryzykiem governance jest jakosc danych od podwykonawcow i spojnosc miedzy dziennikami pracy, fakturami oraz arkuszami BHP. W raporcie warto pokazac mechanizm kontroli i liczbe audytow dostawcow.</w:t>
      </w:r>
    </w:p>
    <w:p>
      <w:pPr>
        <w:pStyle w:val="Heading1"/>
      </w:pPr>
      <w:r>
        <w:rPr>
          <w:rFonts w:ascii="Aptos" w:hAnsi="Aptos"/>
          <w:b/>
          <w:color w:val="2D2D2D"/>
          <w:sz w:val="32"/>
        </w:rPr>
        <w:t>Tabela kontrolna metryk</w:t>
      </w:r>
    </w:p>
    <w:p>
      <w:pPr>
        <w:spacing w:after="120"/>
      </w:pPr>
      <w:r>
        <w:rPr>
          <w:rFonts w:ascii="Aptos" w:hAnsi="Aptos"/>
          <w:b w:val="0"/>
          <w:sz w:val="21"/>
        </w:rPr>
        <w:t>Te same dane sa ponizej w tabeli, ale najwazniejsze wartosci zapisano tez w akapitach powyzej, zeby system RAG mogl je stabilnie odnalezc.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rFonts w:ascii="Aptos" w:hAnsi="Aptos"/>
                <w:b/>
                <w:sz w:val="18"/>
              </w:rPr>
              <w:t>Obszar</w:t>
            </w:r>
          </w:p>
        </w:tc>
        <w:tc>
          <w:tcPr>
            <w:tcW w:type="dxa" w:w="2550"/>
          </w:tcPr>
          <w:p>
            <w:r>
              <w:rPr>
                <w:rFonts w:ascii="Aptos" w:hAnsi="Aptos"/>
                <w:b/>
                <w:sz w:val="18"/>
              </w:rPr>
              <w:t>Wskaznik</w:t>
            </w:r>
          </w:p>
        </w:tc>
        <w:tc>
          <w:tcPr>
            <w:tcW w:type="dxa" w:w="2550"/>
          </w:tcPr>
          <w:p>
            <w:r>
              <w:rPr>
                <w:rFonts w:ascii="Aptos" w:hAnsi="Aptos"/>
                <w:b/>
                <w:sz w:val="18"/>
              </w:rPr>
              <w:t>Wartosc</w:t>
            </w:r>
          </w:p>
        </w:tc>
        <w:tc>
          <w:tcPr>
            <w:tcW w:type="dxa" w:w="2550"/>
          </w:tcPr>
          <w:p>
            <w:r>
              <w:rPr>
                <w:rFonts w:ascii="Aptos" w:hAnsi="Aptos"/>
                <w:b/>
                <w:sz w:val="18"/>
              </w:rPr>
              <w:t>Komentarz</w:t>
            </w:r>
          </w:p>
        </w:tc>
      </w:tr>
      <w:tr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Environmental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Emisje calkowite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24 760 tCO2e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Scope 1: 6 920, Scope 2: 1 180, Scope 3: 16 660</w:t>
            </w:r>
          </w:p>
        </w:tc>
      </w:tr>
      <w:tr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Environmental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Energia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3 980 MWh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1 540 MWh z OZE</w:t>
            </w:r>
          </w:p>
        </w:tc>
      </w:tr>
      <w:tr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Environmental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Odzysk odpadow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79,5%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18 200 Mg odzysku z 22 900 Mg odpadow</w:t>
            </w:r>
          </w:p>
        </w:tc>
      </w:tr>
      <w:tr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Social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Zatrudnienie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352 osoby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64 kobiety, 288 mezczyzn</w:t>
            </w:r>
          </w:p>
        </w:tc>
      </w:tr>
      <w:tr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Social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BHP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LTIFR 1,9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3 wypadki rejestrowalne, 0 ciezkich i 0 smiertelnych</w:t>
            </w:r>
          </w:p>
        </w:tc>
      </w:tr>
      <w:tr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Social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Skargi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23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21 zamknietych, 2 w monitoringu</w:t>
            </w:r>
          </w:p>
        </w:tc>
      </w:tr>
      <w:tr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Governance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Audyty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10 lacznie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4 wewnetrzne, 3 dostawcow, 2 jakosci, 1 ESG</w:t>
            </w:r>
          </w:p>
        </w:tc>
      </w:tr>
      <w:tr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Governance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Whistleblowing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6 zgloszen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Zakupy, podwykonawcy, dyskryminacja, BHP</w:t>
            </w:r>
          </w:p>
        </w:tc>
      </w:tr>
      <w:tr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Governance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Kary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15 000 PLN</w:t>
            </w:r>
          </w:p>
        </w:tc>
        <w:tc>
          <w:tcPr>
            <w:tcW w:type="dxa" w:w="2550"/>
            <w:vAlign w:val="top"/>
          </w:tcPr>
          <w:p>
            <w:r>
              <w:rPr>
                <w:rFonts w:ascii="Aptos" w:hAnsi="Aptos"/>
                <w:b w:val="0"/>
                <w:sz w:val="17"/>
              </w:rPr>
              <w:t>Kara umowna, brak administracyjnych kar ESG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color w:val="2D2D2D"/>
          <w:sz w:val="32"/>
        </w:rPr>
        <w:t>Dodatkowe obserwacje do raportu</w:t>
      </w:r>
    </w:p>
    <w:p>
      <w:pPr>
        <w:pStyle w:val="Heading2"/>
      </w:pPr>
      <w:r>
        <w:rPr>
          <w:rFonts w:ascii="Aptos" w:hAnsi="Aptos"/>
          <w:b/>
          <w:color w:val="2D2D2D"/>
          <w:sz w:val="26"/>
        </w:rPr>
        <w:t>Ryzyka srodowiskowe</w:t>
      </w:r>
    </w:p>
    <w:p>
      <w:pPr>
        <w:spacing w:after="120"/>
      </w:pPr>
      <w:r>
        <w:rPr>
          <w:rFonts w:ascii="Aptos" w:hAnsi="Aptos"/>
          <w:b w:val="0"/>
          <w:sz w:val="21"/>
        </w:rPr>
        <w:t>Najwazniejsze ryzyko srodowiskowe dotyczy emisji Scope 3 z asfaltu i kruszyw. PDF powinien pokazac, ze zastosowano 41% mieszanki z materialem z recyklingu oraz odzysk 8 750 Mg frezu asfaltowego.</w:t>
      </w:r>
    </w:p>
    <w:p>
      <w:pPr>
        <w:spacing w:after="120"/>
      </w:pPr>
      <w:r>
        <w:rPr>
          <w:rFonts w:ascii="Aptos" w:hAnsi="Aptos"/>
          <w:b w:val="0"/>
          <w:sz w:val="21"/>
        </w:rPr>
        <w:t>Drugim ryzykiem sa wody opadowe i wycieki. Dokument potwierdza 2 niewielkie wycieki hydrauliczne bez przekroczen w badaniach wody oraz 11 600 m3 wody przechwyconej przez retencje tymczasowa.</w:t>
      </w:r>
    </w:p>
    <w:p>
      <w:pPr>
        <w:pStyle w:val="Heading2"/>
      </w:pPr>
      <w:r>
        <w:rPr>
          <w:rFonts w:ascii="Aptos" w:hAnsi="Aptos"/>
          <w:b/>
          <w:color w:val="2D2D2D"/>
          <w:sz w:val="26"/>
        </w:rPr>
        <w:t>Ryzyka spoleczne</w:t>
      </w:r>
    </w:p>
    <w:p>
      <w:pPr>
        <w:spacing w:after="120"/>
      </w:pPr>
      <w:r>
        <w:rPr>
          <w:rFonts w:ascii="Aptos" w:hAnsi="Aptos"/>
          <w:b w:val="0"/>
          <w:sz w:val="21"/>
        </w:rPr>
        <w:t>Najwieksze napiecie spoleczne dotyczy organizacji ruchu. Raport powinien jasno podac 23 skargi, status 21 zamknietych spraw i 2 spraw w monitoringu, zamiast ukrywac problem.</w:t>
      </w:r>
    </w:p>
    <w:p>
      <w:pPr>
        <w:spacing w:after="120"/>
      </w:pPr>
      <w:r>
        <w:rPr>
          <w:rFonts w:ascii="Aptos" w:hAnsi="Aptos"/>
          <w:b w:val="0"/>
          <w:sz w:val="21"/>
        </w:rPr>
        <w:t>Pozytywnym elementem jest lokalne zatrudnienie 38 osob oraz praktyki dla 12 uczniow technikum budowlanego. Te dane nadaja sie do sekcji Social w PDF.</w:t>
      </w:r>
    </w:p>
    <w:p>
      <w:pPr>
        <w:pStyle w:val="Heading2"/>
      </w:pPr>
      <w:r>
        <w:rPr>
          <w:rFonts w:ascii="Aptos" w:hAnsi="Aptos"/>
          <w:b/>
          <w:color w:val="2D2D2D"/>
          <w:sz w:val="26"/>
        </w:rPr>
        <w:t>Ryzyka governance</w:t>
      </w:r>
    </w:p>
    <w:p>
      <w:pPr>
        <w:spacing w:after="120"/>
      </w:pPr>
      <w:r>
        <w:rPr>
          <w:rFonts w:ascii="Aptos" w:hAnsi="Aptos"/>
          <w:b w:val="0"/>
          <w:sz w:val="21"/>
        </w:rPr>
        <w:t>Najwazniejsze ryzyko governance to dostawcy wysokiego ryzyka i jakosc danych. Raport powinien wymienic 27 rozszerzonych ocen ESG, 6 dostawcow podwyzszonego ryzyka oraz 10 audytow lacznie.</w:t>
      </w:r>
    </w:p>
    <w:p>
      <w:pPr>
        <w:spacing w:after="120"/>
      </w:pPr>
      <w:r>
        <w:rPr>
          <w:rFonts w:ascii="Aptos" w:hAnsi="Aptos"/>
          <w:b w:val="0"/>
          <w:sz w:val="21"/>
        </w:rPr>
        <w:t>Kara umowna 15 000 PLN powinna byc pokazana jako kwestia governance, ale nalezy rozroznic ja od kar administracyjnych srodowiskowych i BHP, ktorych nie bylo.</w:t>
      </w:r>
    </w:p>
    <w:p>
      <w:r>
        <w:br w:type="page"/>
      </w:r>
    </w:p>
    <w:p>
      <w:pPr>
        <w:pStyle w:val="Heading1"/>
      </w:pPr>
      <w:r>
        <w:rPr>
          <w:rFonts w:ascii="Aptos" w:hAnsi="Aptos"/>
          <w:b/>
          <w:color w:val="2D2D2D"/>
          <w:sz w:val="32"/>
        </w:rPr>
        <w:t>Slownik i frazy wyszukiwawcze</w:t>
      </w:r>
    </w:p>
    <w:p>
      <w:pPr>
        <w:spacing w:after="120"/>
      </w:pPr>
      <w:r>
        <w:rPr>
          <w:rFonts w:ascii="Aptos" w:hAnsi="Aptos"/>
          <w:b w:val="0"/>
          <w:sz w:val="21"/>
        </w:rPr>
        <w:t>Environmental: emisje CO2, tCO2e, Scope 1, Scope 2, Scope 3, energia MWh, woda m3, odpady Mg, recykling, beton niskoemisyjny, stal z recyklingu, bioroznorodnosc, pyl PM10.</w:t>
      </w:r>
    </w:p>
    <w:p>
      <w:pPr>
        <w:spacing w:after="120"/>
      </w:pPr>
      <w:r>
        <w:rPr>
          <w:rFonts w:ascii="Aptos" w:hAnsi="Aptos"/>
          <w:b w:val="0"/>
          <w:sz w:val="21"/>
        </w:rPr>
        <w:t>Social: liczba pracownikow, szkolenia BHP, kobiety, mezczyzni, wypadki, LTIFR, rotacja, podwykonawcy, skargi spolecznosci, wolontariat, konsultacje lokalne.</w:t>
      </w:r>
    </w:p>
    <w:p>
      <w:pPr>
        <w:spacing w:after="120"/>
      </w:pPr>
      <w:r>
        <w:rPr>
          <w:rFonts w:ascii="Aptos" w:hAnsi="Aptos"/>
          <w:b w:val="0"/>
          <w:sz w:val="21"/>
        </w:rPr>
        <w:t>Governance: zarzad, rada nadzorcza, audyty, compliance, antykorupcja, whistleblowing, kary finansowe, etyka, dostawcy, cyberbezpieczenstwo, polityka zakupowa.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