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BICOL UNIVERSITY</w:t>
      </w:r>
    </w:p>
    <w:p>
      <w:pPr>
        <w:jc w:val="center"/>
      </w:pPr>
      <w:r>
        <w:rPr>
          <w:sz w:val="21"/>
        </w:rPr>
        <w:t>College of Science, Department of Information Technology</w:t>
      </w:r>
    </w:p>
    <w:p>
      <w:pPr>
        <w:jc w:val="center"/>
      </w:pPr>
      <w:r>
        <w:rPr>
          <w:i/>
          <w:sz w:val="21"/>
        </w:rPr>
        <w:t>Learning Module, Student Copy</w:t>
      </w:r>
    </w:p>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type="dxa" w:w="2736"/>
          </w:tcPr>
          <w:p>
            <w:r/>
            <w:r>
              <w:rPr>
                <w:b/>
                <w:sz w:val="20"/>
              </w:rPr>
              <w:t>Course Code &amp; Title</w:t>
            </w:r>
          </w:p>
        </w:tc>
        <w:tc>
          <w:tcPr>
            <w:tcW w:type="dxa" w:w="6624"/>
          </w:tcPr>
          <w:p>
            <w:r/>
            <w:r>
              <w:rPr>
                <w:b w:val="0"/>
                <w:sz w:val="20"/>
              </w:rPr>
              <w:t>IT 124 – Capstone Project 2</w:t>
            </w:r>
          </w:p>
        </w:tc>
      </w:tr>
      <w:tr>
        <w:tc>
          <w:tcPr>
            <w:tcW w:type="dxa" w:w="2736"/>
          </w:tcPr>
          <w:p>
            <w:r/>
            <w:r>
              <w:rPr>
                <w:b/>
                <w:sz w:val="20"/>
              </w:rPr>
              <w:t>Module Title</w:t>
            </w:r>
          </w:p>
        </w:tc>
        <w:tc>
          <w:tcPr>
            <w:tcW w:type="dxa" w:w="6624"/>
          </w:tcPr>
          <w:p>
            <w:r/>
            <w:r>
              <w:rPr>
                <w:b w:val="0"/>
                <w:sz w:val="20"/>
              </w:rPr>
              <w:t>Learning Module 01: System Design Refinement</w:t>
            </w:r>
          </w:p>
        </w:tc>
      </w:tr>
      <w:tr>
        <w:tc>
          <w:tcPr>
            <w:tcW w:type="dxa" w:w="2736"/>
          </w:tcPr>
          <w:p>
            <w:r/>
            <w:r>
              <w:rPr>
                <w:b/>
                <w:sz w:val="20"/>
              </w:rPr>
              <w:t>Group Name</w:t>
            </w:r>
          </w:p>
        </w:tc>
        <w:tc>
          <w:tcPr>
            <w:tcW w:type="dxa" w:w="6624"/>
          </w:tcPr>
          <w:p>
            <w:r/>
            <w:r>
              <w:rPr>
                <w:b w:val="0"/>
                <w:sz w:val="20"/>
              </w:rPr>
            </w:r>
          </w:p>
        </w:tc>
      </w:tr>
      <w:tr>
        <w:tc>
          <w:tcPr>
            <w:tcW w:type="dxa" w:w="2736"/>
          </w:tcPr>
          <w:p>
            <w:r/>
            <w:r>
              <w:rPr>
                <w:b/>
                <w:sz w:val="20"/>
              </w:rPr>
              <w:t>Year - Block</w:t>
            </w:r>
          </w:p>
        </w:tc>
        <w:tc>
          <w:tcPr>
            <w:tcW w:type="dxa" w:w="6624"/>
          </w:tcPr>
          <w:p>
            <w:r/>
            <w:r>
              <w:rPr>
                <w:b w:val="0"/>
                <w:sz w:val="20"/>
              </w:rPr>
            </w:r>
          </w:p>
        </w:tc>
      </w:tr>
      <w:tr>
        <w:tc>
          <w:tcPr>
            <w:tcW w:type="dxa" w:w="2736"/>
          </w:tcPr>
          <w:p>
            <w:r/>
            <w:r>
              <w:rPr>
                <w:b/>
                <w:sz w:val="20"/>
              </w:rPr>
              <w:t>Estimated Time</w:t>
            </w:r>
          </w:p>
        </w:tc>
        <w:tc>
          <w:tcPr>
            <w:tcW w:type="dxa" w:w="6624"/>
          </w:tcPr>
          <w:p>
            <w:r/>
            <w:r>
              <w:rPr>
                <w:b w:val="0"/>
                <w:sz w:val="20"/>
              </w:rPr>
              <w:t>60 to 90 minutes for the concept review and learning activities. Your instructor will time the Final Assessment separately.</w:t>
            </w:r>
          </w:p>
        </w:tc>
      </w:tr>
      <w:tr>
        <w:tc>
          <w:tcPr>
            <w:tcW w:type="dxa" w:w="2736"/>
          </w:tcPr>
          <w:p>
            <w:r/>
            <w:r>
              <w:rPr>
                <w:b/>
                <w:sz w:val="20"/>
              </w:rPr>
              <w:t>Materials Needed</w:t>
            </w:r>
          </w:p>
        </w:tc>
        <w:tc>
          <w:tcPr>
            <w:tcW w:type="dxa" w:w="6624"/>
          </w:tcPr>
          <w:p>
            <w:r/>
            <w:r>
              <w:rPr>
                <w:b w:val="0"/>
                <w:sz w:val="20"/>
              </w:rPr>
              <w:t>Your team's approved Capstone 1 proposal and panel recommendation sheet; a laptop or mobile device with internet access; access to a diagramming tool, a database or ERD modeling tool, and a UI/UX design tool (proprietary or open-source options are both acceptable); a pen or word processor for written answers.</w:t>
            </w:r>
          </w:p>
        </w:tc>
      </w:tr>
    </w:tbl>
    <w:p/>
    <w:p>
      <w:pPr>
        <w:pBdr>
          <w:bottom w:val="single" w:sz="6" w:color="1F4E79" w:space="2"/>
        </w:pBdr>
      </w:pPr>
      <w:r>
        <w:rPr>
          <w:b/>
          <w:color w:val="1F4E79"/>
          <w:sz w:val="30"/>
        </w:rPr>
        <w:t>What You Will Be Able to Do</w:t>
      </w:r>
    </w:p>
    <w:p>
      <w:r>
        <w:rPr>
          <w:b w:val="0"/>
          <w:i w:val="0"/>
          <w:sz w:val="21"/>
        </w:rPr>
        <w:t>This module continues directly from your Capstone 1 proposal defense. Your panel already reviewed your proposed system and gave your team specific recommendations. This module walks you through the process of turning those recommendations into a finalized, build-ready design, and it gives you practice applying that process before your instructor checks your work.</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type="dxa" w:w="576"/>
          </w:tcPr>
          <w:p>
            <w:pPr>
              <w:jc w:val="center"/>
            </w:pPr>
            <w:r/>
            <w:r>
              <w:rPr>
                <w:b/>
                <w:sz w:val="20"/>
              </w:rPr>
              <w:t>1</w:t>
            </w:r>
          </w:p>
        </w:tc>
        <w:tc>
          <w:tcPr>
            <w:tcW w:type="dxa" w:w="8784"/>
          </w:tcPr>
          <w:p>
            <w:r/>
            <w:r>
              <w:rPr>
                <w:b w:val="0"/>
                <w:sz w:val="20"/>
              </w:rPr>
              <w:t>By the end of this module, you will be able to finalize your system's architecture, database schema, and process/data flow diagrams, based on the recommendations your panel gave you at your Capstone 1 proposal defense.</w:t>
            </w:r>
          </w:p>
        </w:tc>
      </w:tr>
      <w:tr>
        <w:tc>
          <w:tcPr>
            <w:tcW w:type="dxa" w:w="576"/>
          </w:tcPr>
          <w:p>
            <w:pPr>
              <w:jc w:val="center"/>
            </w:pPr>
            <w:r/>
            <w:r>
              <w:rPr>
                <w:b/>
                <w:sz w:val="20"/>
              </w:rPr>
              <w:t>2</w:t>
            </w:r>
          </w:p>
        </w:tc>
        <w:tc>
          <w:tcPr>
            <w:tcW w:type="dxa" w:w="8784"/>
          </w:tcPr>
          <w:p>
            <w:r/>
            <w:r>
              <w:rPr>
                <w:b w:val="0"/>
                <w:sz w:val="20"/>
              </w:rPr>
              <w:t>You will be able to refine the user interface (UI) and user experience (UX) design of your proposed system.</w:t>
            </w:r>
          </w:p>
        </w:tc>
      </w:tr>
      <w:tr>
        <w:tc>
          <w:tcPr>
            <w:tcW w:type="dxa" w:w="576"/>
          </w:tcPr>
          <w:p>
            <w:pPr>
              <w:jc w:val="center"/>
            </w:pPr>
            <w:r/>
            <w:r>
              <w:rPr>
                <w:b/>
                <w:sz w:val="20"/>
              </w:rPr>
              <w:t>3</w:t>
            </w:r>
          </w:p>
        </w:tc>
        <w:tc>
          <w:tcPr>
            <w:tcW w:type="dxa" w:w="8784"/>
          </w:tcPr>
          <w:p>
            <w:r/>
            <w:r>
              <w:rPr>
                <w:b w:val="0"/>
                <w:sz w:val="20"/>
              </w:rPr>
              <w:t>You will be able to justify your design decisions in terms of functionality, security, scalability, and alignment with the problem your project identified.</w:t>
            </w:r>
          </w:p>
        </w:tc>
      </w:tr>
    </w:tbl>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360"/>
      </w:tblGrid>
      <w:tr>
        <w:tc>
          <w:tcPr>
            <w:tcW w:type="dxa" w:w="9360"/>
            <w:shd w:val="clear" w:color="auto" w:fill="FBF6E0"/>
          </w:tcPr>
          <w:p>
            <w:r/>
            <w:r>
              <w:rPr>
                <w:b/>
                <w:color w:val="1F3B64"/>
                <w:sz w:val="19"/>
              </w:rPr>
              <w:t>PERFORMANCE STANDARD</w:t>
            </w:r>
          </w:p>
          <w:p>
            <w:r>
              <w:rPr>
                <w:sz w:val="20"/>
              </w:rPr>
              <w:t>By the end of this module, your team should be able to produce a complete and validated System Design Document. That document must include your finalized architecture, your database schema (ERD), and your UI/UX mockups, and it must show, item by item, how you incorporated your panel's recommendations from Capstone Project 1.</w:t>
            </w:r>
          </w:p>
        </w:tc>
      </w:tr>
    </w:tbl>
    <w:p/>
    <w:p>
      <w:pPr>
        <w:pBdr>
          <w:bottom w:val="single" w:sz="6" w:color="1F4E79" w:space="2"/>
        </w:pBdr>
      </w:pPr>
      <w:r>
        <w:rPr>
          <w:b/>
          <w:color w:val="1F4E79"/>
          <w:sz w:val="30"/>
        </w:rPr>
        <w:t>How to Use This Module</w:t>
      </w:r>
    </w:p>
    <w:p>
      <w:pPr>
        <w:pStyle w:val="ListBullet"/>
      </w:pPr>
      <w:r>
        <w:rPr>
          <w:b/>
          <w:sz w:val="21"/>
        </w:rPr>
        <w:t xml:space="preserve">Read the concept review first. </w:t>
      </w:r>
      <w:r>
        <w:rPr>
          <w:sz w:val="21"/>
        </w:rPr>
        <w:t>It is a condensed refresher of what your instructor covered in the lecture discussion. It is not a replacement for that discussion.</w:t>
      </w:r>
    </w:p>
    <w:p>
      <w:pPr>
        <w:pStyle w:val="ListBullet"/>
      </w:pPr>
      <w:r>
        <w:rPr>
          <w:b/>
          <w:sz w:val="21"/>
        </w:rPr>
        <w:t xml:space="preserve">Study the worked model carefully. </w:t>
      </w:r>
      <w:r>
        <w:rPr>
          <w:sz w:val="21"/>
        </w:rPr>
        <w:t>It shows one capstone team's design refinement process from start to finish. You will follow the same process for your own project.</w:t>
      </w:r>
    </w:p>
    <w:p>
      <w:pPr>
        <w:pStyle w:val="ListBullet"/>
      </w:pPr>
      <w:r>
        <w:rPr>
          <w:b/>
          <w:sz w:val="21"/>
        </w:rPr>
        <w:t xml:space="preserve">Complete the learning activities in order. </w:t>
      </w:r>
      <w:r>
        <w:rPr>
          <w:sz w:val="21"/>
        </w:rPr>
        <w:t>Each tier builds on the one before it: first you check your understanding of the terms, then you apply the concepts to a scenario and to your own project, and finally you analyze and justify design decisions.</w:t>
      </w:r>
    </w:p>
    <w:p>
      <w:pPr>
        <w:pStyle w:val="ListBullet"/>
      </w:pPr>
      <w:r>
        <w:rPr>
          <w:b/>
          <w:sz w:val="21"/>
        </w:rPr>
        <w:t xml:space="preserve">Attempt the Final Assessment only after finishing the activities. </w:t>
      </w:r>
      <w:r>
        <w:rPr>
          <w:sz w:val="21"/>
        </w:rPr>
        <w:t>It covers the same material at a deeper level, and your instructor will check it against your activity answers for consistency.</w:t>
      </w:r>
    </w:p>
    <w:p>
      <w:pPr>
        <w:pStyle w:val="ListBullet"/>
      </w:pPr>
      <w:r>
        <w:rPr>
          <w:b/>
          <w:sz w:val="21"/>
        </w:rPr>
        <w:t xml:space="preserve">Write directly on this module. </w:t>
      </w:r>
      <w:r>
        <w:rPr>
          <w:sz w:val="21"/>
        </w:rPr>
        <w:t>Use the ruled lines and tables provided. If you need more space, continue on a separate sheet and label it clearly with the item number.</w:t>
      </w:r>
    </w:p>
    <w:p>
      <w:pPr>
        <w:pBdr>
          <w:bottom w:val="single" w:sz="6" w:color="1F4E79" w:space="2"/>
        </w:pBdr>
      </w:pPr>
      <w:r>
        <w:rPr>
          <w:b/>
          <w:color w:val="1F4E79"/>
          <w:sz w:val="30"/>
        </w:rPr>
        <w:t>Concept Review</w:t>
      </w:r>
    </w:p>
    <w:p>
      <w:r>
        <w:rPr>
          <w:b w:val="0"/>
          <w:i w:val="0"/>
          <w:sz w:val="21"/>
        </w:rPr>
        <w:t>This is a condensed review of the design refinement process. For the full discussion, refer to your notes from the lecture session.</w:t>
      </w:r>
    </w:p>
    <w:p>
      <w:r>
        <w:rPr>
          <w:b/>
          <w:color w:val="1F4E79"/>
          <w:sz w:val="24"/>
        </w:rPr>
        <w:t>1. Finalizing Your System Architecture</w:t>
      </w:r>
    </w:p>
    <w:p>
      <w:r>
        <w:rPr>
          <w:b w:val="0"/>
          <w:i w:val="0"/>
          <w:sz w:val="21"/>
        </w:rPr>
        <w:t>Your Capstone 1 panel likely flagged one of three things about your architecture: a component you left unspecified, a technology choice they questioned as unsuitable for your system's scale, or an integration point (such as a payment gateway or an SMS gateway) that still needs a defined interface. Finalizing your architecture means resolving each of those flags directly, and documenting how you resolved them.</w:t>
      </w:r>
    </w:p>
    <w:p>
      <w:r>
        <w:rPr>
          <w:b w:val="0"/>
          <w:i w:val="0"/>
          <w:sz w:val="21"/>
        </w:rPr>
        <w:t>Most capstone systems use one of four patterns. A layered (n-tier) architecture separates presentation, business logic, and data into distinct layers, and is the most common capstone choice because it is easy for a small team to build and test. A client-server architecture describes the general split between your client application and your server. Model-View-Controller (MVC) and related patterns structure the application layer itself into model, view, and controller, which most frameworks (Laravel, Django, .NET MVC) already assume. A modular monolith, a single deployable application with clearly separated internal modules, is usually the right middle ground when a system has several loosely related functional areas; true microservices are rarely necessary at capstone scale.</w:t>
      </w:r>
    </w:p>
    <w:p>
      <w:r>
        <w:rPr>
          <w:b w:val="0"/>
          <w:i w:val="0"/>
          <w:sz w:val="21"/>
        </w:rPr>
        <w:t>Your finalized architecture documentation needs an architecture diagram, a short written justification for why you chose this pattern over the alternatives, a one-sentence responsibility statement for every component, and a technology stack table.</w:t>
      </w:r>
    </w:p>
    <w:p>
      <w:r>
        <w:rPr>
          <w:b/>
          <w:color w:val="1F4E79"/>
          <w:sz w:val="24"/>
        </w:rPr>
        <w:t>2. Refining Your Database Schema (ERD)</w:t>
      </w:r>
    </w:p>
    <w:p>
      <w:r>
        <w:rPr>
          <w:b w:val="0"/>
          <w:i w:val="0"/>
          <w:sz w:val="21"/>
        </w:rPr>
        <w:t>A proposal-stage data model almost always has gaps: entities implied by your narrative but never drawn, attributes with no defined data type, relationships whose cardinality was assumed rather than checked, and missing audit fields such as timestamps or status flags. Refining your schema means closing every one of those gaps. Run every entity and relationship through six checks: entity completeness, attribute definition (including marking password fields as hashed, never plain text), primary and foreign keys, cardinality and participation, normalization to at least Third Normal Form (3NF), and referential integrity and cascade rules for every foreign key.</w:t>
      </w:r>
    </w:p>
    <w:p>
      <w:r>
        <w:rPr>
          <w:b w:val="0"/>
          <w:i w:val="0"/>
          <w:sz w:val="21"/>
        </w:rPr>
        <w:t>Use Crow's Foot notation for your ERD, since it expresses cardinality directly on the connecting line between two entities. Your finished schema deliverable is the ERD plus a data dictionary listing every entity, attribute, type, constraint, and short description.</w:t>
      </w:r>
    </w:p>
    <w:p>
      <w:r>
        <w:rPr>
          <w:b/>
          <w:color w:val="1F4E79"/>
          <w:sz w:val="24"/>
        </w:rPr>
        <w:t>3. Process and Data Flow Diagrams</w:t>
      </w:r>
    </w:p>
    <w:p>
      <w:r>
        <w:rPr>
          <w:b w:val="0"/>
          <w:i w:val="0"/>
          <w:sz w:val="21"/>
        </w:rPr>
        <w:t>A Data Flow Diagram (DFD) shows how data moves between external entities, processes, and data stores. A Context Diagram (Level 0) shows your entire system as one process with only its boundary and external entities. A Level 1 DFD decomposes that process into major subprocesses and shows the data stores each one uses. Deeper levels are only needed where a subprocess is complex enough to warrant it. For algorithm-heavy logic that a DFD cannot express clearly, use a flowchart or a UML sequence diagram instead; a sequence diagram is especially useful for showing how your client, API layer, and database interact for one transaction.</w:t>
      </w:r>
    </w:p>
    <w:p>
      <w:r>
        <w:rPr>
          <w:b w:val="0"/>
          <w:i w:val="0"/>
          <w:sz w:val="21"/>
        </w:rPr>
        <w:t>Before finalizing your diagrams, check that every data store in your DFD maps to a specific entity in your ERD, and that every process maps to a component in your architecture diagram. This cross-check is exactly what your Design Review Checklist looks for.</w:t>
      </w:r>
    </w:p>
    <w:p>
      <w:r>
        <w:rPr>
          <w:b/>
          <w:color w:val="1F4E79"/>
          <w:sz w:val="24"/>
        </w:rPr>
        <w:t>4. Refining Your UI/UX Design</w:t>
      </w:r>
    </w:p>
    <w:p>
      <w:r>
        <w:rPr>
          <w:b w:val="0"/>
          <w:i w:val="0"/>
          <w:sz w:val="21"/>
        </w:rPr>
        <w:t>Refinement means moving from a rough wireframe to a validated, high-fidelity mockup: pixel-accurate layouts, a consistent color and typography system, and every screen a user will actually encounter, including error states, empty states, and confirmation dialogs. Check your interface against Nielsen's usability heuristics, particularly visibility of system status, match between the system and the real world, user control and freedom, consistency and standards, error prevention and recovery, and accessibility. Where possible, walk your mockups through with a real representative of your intended end users before finalizing them, and document any change that results.</w:t>
      </w:r>
    </w:p>
    <w:p>
      <w:r>
        <w:rPr>
          <w:b/>
          <w:color w:val="1F4E79"/>
          <w:sz w:val="24"/>
        </w:rPr>
        <w:t>5. Justifying Your Design Decisions</w:t>
      </w:r>
    </w:p>
    <w:p>
      <w:r>
        <w:rPr>
          <w:b w:val="0"/>
          <w:i w:val="0"/>
          <w:sz w:val="21"/>
        </w:rPr>
        <w:t>A design is complete only when your team can defend it, not just when it works. Every major decision needs a written justification along four dimensions. Functionality: does the design fully support the functional requirements from your Capstone 1 proposal, traced by requirement number? Security: name the specific mechanism, not just the goal (for example, state that passwords are hashed with bcrypt, rather than simply claiming the system is secure). Scalability: state the expected scale the design was built for, and the concrete choices, such as indexed keys or pagination, that support it. Problem alignment: does the design still solve the problem your project originally identified? This four-part structure, functionality, security, scalability, and problem alignment, is exactly what you will be asked to produce in this module's activities and Final Assessment.</w:t>
      </w:r>
    </w:p>
    <w:p>
      <w:pPr>
        <w:pBdr>
          <w:bottom w:val="single" w:sz="6" w:color="1F4E79" w:space="2"/>
        </w:pBdr>
      </w:pPr>
      <w:r>
        <w:rPr>
          <w:b/>
          <w:color w:val="1F4E79"/>
          <w:sz w:val="30"/>
        </w:rPr>
        <w:t>Guided Practice: A Worked Model</w:t>
      </w:r>
    </w:p>
    <w:p>
      <w:r>
        <w:rPr>
          <w:b w:val="0"/>
          <w:i w:val="0"/>
          <w:sz w:val="21"/>
        </w:rPr>
        <w:t>Read the following example carefully before starting the activities. It shows the complete process, from panel recommendation to finalized, justified design, that you will apply to your own project.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360"/>
      </w:tblGrid>
      <w:tr>
        <w:tc>
          <w:tcPr>
            <w:tcW w:type="dxa" w:w="9360"/>
            <w:shd w:val="clear" w:color="auto" w:fill="E8EEF7"/>
          </w:tcPr>
          <w:p>
            <w:r/>
            <w:r>
              <w:rPr>
                <w:b/>
                <w:color w:val="1F3B64"/>
                <w:sz w:val="19"/>
              </w:rPr>
              <w:t>THE SYSTEM</w:t>
            </w:r>
          </w:p>
          <w:p>
            <w:r>
              <w:rPr>
                <w:sz w:val="20"/>
              </w:rPr>
              <w:t>A capstone team proposed a Barangay E-Health Record and Referral System, meant to let barangay health workers record patient visits digitally and refer patients to a partner hospital when needed.</w:t>
            </w:r>
          </w:p>
        </w:tc>
      </w:tr>
    </w:tbl>
    <w:p/>
    <w:p>
      <w:r>
        <w:rPr>
          <w:b w:val="0"/>
          <w:i w:val="0"/>
          <w:sz w:val="21"/>
        </w:rPr>
        <w:t>At the proposal defense, the panel gave three recommendations. First, the data model had no way to track the status of a referral once it was sent to the hospital. Second, the architecture diagram did not show how the system would work at a barangay station with intermittent internet connectivity. Third, the mockups did not address what a health worker sees when a patient has no prior record.</w:t>
      </w:r>
    </w:p>
    <w:p>
      <w:r>
        <w:rPr>
          <w:b/>
          <w:i/>
          <w:color w:val="B08200"/>
          <w:sz w:val="21"/>
        </w:rPr>
        <w:t>Resolving Recommendation 1 (Schema)</w:t>
      </w:r>
    </w:p>
    <w:p>
      <w:r>
        <w:rPr>
          <w:b w:val="0"/>
          <w:i w:val="0"/>
          <w:sz w:val="21"/>
        </w:rPr>
        <w:t>The team added a new Referral entity with a status attribute that can be Pending, Accepted, Completed, or Cancelled. That entity received three foreign keys: one to the Patient entity, one to the referring Barangay Health Worker, and one to the receiving hospital's Facility entity. The relationship was written out explicitly in the data dictionary: a Patient may have zero or many Referrals, and a Referral must belong to exactly one Patient. This closed the gap directly, and the team logged it in their design review as a resolved recommendation.</w:t>
      </w:r>
    </w:p>
    <w:p>
      <w:r>
        <w:rPr>
          <w:b/>
          <w:i/>
          <w:color w:val="B08200"/>
          <w:sz w:val="21"/>
        </w:rPr>
        <w:t>Resolving Recommendation 2 (Architecture)</w:t>
      </w:r>
    </w:p>
    <w:p>
      <w:r>
        <w:rPr>
          <w:b w:val="0"/>
          <w:i w:val="0"/>
          <w:sz w:val="21"/>
        </w:rPr>
        <w:t>Because barangay stations may lose connectivity, the team revised their architecture from a purely online client-server model to a layered architecture with a local, offline-capable client. That client queues records locally and synchronizes with the central server once a connection returns. Their justification stated plainly that this pattern was chosen over an always-online model because their Functional Requirement 1.4, recording a patient visit without an active internet connection, could not be satisfied without local storage and a synchronization mechanism.</w:t>
      </w:r>
    </w:p>
    <w:p>
      <w:r>
        <w:rPr>
          <w:b/>
          <w:i/>
          <w:color w:val="B08200"/>
          <w:sz w:val="21"/>
        </w:rPr>
        <w:t>Resolving Recommendation 3 (UI/UX)</w:t>
      </w:r>
    </w:p>
    <w:p>
      <w:r>
        <w:rPr>
          <w:b w:val="0"/>
          <w:i w:val="0"/>
          <w:sz w:val="21"/>
        </w:rPr>
        <w:t>The team extended their mockups with an explicit New Patient empty state, shown whenever a health worker searches for a patient and finds no match. A clear call to action lets the worker create a new record instead of reaching a dead end. This reflects the usability heuristic of error prevention and user control, since the system now anticipates a real workflow gap rather than assuming every patient already exists in the database.</w:t>
      </w:r>
    </w:p>
    <w:p>
      <w:r>
        <w:rPr>
          <w:b/>
          <w:i/>
          <w:color w:val="B08200"/>
          <w:sz w:val="21"/>
        </w:rPr>
        <w:t>The Full Justification</w:t>
      </w:r>
    </w:p>
    <w:p>
      <w:r>
        <w:rPr>
          <w:b w:val="0"/>
          <w:i w:val="0"/>
          <w:sz w:val="21"/>
        </w:rPr>
        <w:t>Finally, the team wrote a four-part justification for the revised design as a whole. Functionally, the offline-capable architecture and the new Referral entity satisfy the requirements the panel flagged as unmet. For security, patient data synced from the barangay client is encrypted in transit, and health worker accounts are authenticated before any local queue can be created. For scalability, the schema's foreign keys are indexed, and the design is stated to target the barangay's actual patient volume of roughly 3,000 households. For problem alignment, every one of these changes traces back to the original problem statement: barangay health workers lacking a reliable way to record and refer patients, rather than adding complexity unrelated to that problem.</w:t>
      </w:r>
    </w:p>
    <w:p>
      <w:r>
        <w:rPr>
          <w:b w:val="0"/>
          <w:i w:val="0"/>
          <w:sz w:val="21"/>
        </w:rPr>
        <w:t>Notice the pattern in every step above: a specific panel recommendation, a specific design change, and a specific, named justification. That is exactly the pattern you will use in the activities that follow.</w:t>
      </w:r>
    </w:p>
    <w:p>
      <w:pPr>
        <w:pBdr>
          <w:bottom w:val="single" w:sz="6" w:color="1F4E79" w:space="2"/>
        </w:pBdr>
      </w:pPr>
      <w:r>
        <w:rPr>
          <w:b/>
          <w:color w:val="1F4E79"/>
          <w:sz w:val="30"/>
        </w:rPr>
        <w:t>Learning Activities</w:t>
      </w:r>
    </w:p>
    <w:p>
      <w:r>
        <w:rPr>
          <w:b w:val="0"/>
          <w:i w:val="0"/>
          <w:sz w:val="21"/>
        </w:rPr>
        <w:t>Complete Activities 1 through 3 in order. Items are numbered continuously through the rest of this module, including the Final Assessment, so keep track of your item numbers as you go.</w:t>
      </w:r>
    </w:p>
    <w:p>
      <w:r>
        <w:rPr>
          <w:b/>
          <w:color w:val="1F4E79"/>
          <w:sz w:val="24"/>
        </w:rPr>
        <w:t>Activity 1: Knowledge and Comprehension Check</w:t>
      </w:r>
    </w:p>
    <w:p>
      <w:r>
        <w:rPr>
          <w:b w:val="0"/>
          <w:i w:val="0"/>
          <w:sz w:val="21"/>
        </w:rPr>
        <w:t>For Items 1 to 5, match each term in Column A with its correct definition in Column B. Write the letter of the matching definition on the blank before each number. Each letter may be used only once.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type="dxa" w:w="4320"/>
            <w:shd w:val="clear" w:color="auto" w:fill="DEEAF6"/>
          </w:tcPr>
          <w:p>
            <w:r/>
            <w:r>
              <w:rPr>
                <w:b/>
                <w:color w:val="1F3B64"/>
                <w:sz w:val="19"/>
              </w:rPr>
              <w:t>Column A: Term</w:t>
            </w:r>
          </w:p>
        </w:tc>
        <w:tc>
          <w:tcPr>
            <w:tcW w:type="dxa" w:w="5760"/>
            <w:shd w:val="clear" w:color="auto" w:fill="DEEAF6"/>
          </w:tcPr>
          <w:p>
            <w:r/>
            <w:r>
              <w:rPr>
                <w:b/>
                <w:color w:val="1F3B64"/>
                <w:sz w:val="19"/>
              </w:rPr>
              <w:t>Column B: Definition (unordered)</w:t>
            </w:r>
          </w:p>
        </w:tc>
      </w:tr>
      <w:tr>
        <w:tc>
          <w:tcPr>
            <w:tcW w:type="dxa" w:w="4320"/>
          </w:tcPr>
          <w:p>
            <w:r/>
            <w:r>
              <w:rPr>
                <w:b w:val="0"/>
                <w:sz w:val="19"/>
              </w:rPr>
              <w:t>B  1. Layered (n-tier) architecture</w:t>
            </w:r>
          </w:p>
        </w:tc>
        <w:tc>
          <w:tcPr>
            <w:tcW w:type="dxa" w:w="5760"/>
          </w:tcPr>
          <w:p>
            <w:r/>
            <w:r>
              <w:rPr>
                <w:b w:val="0"/>
                <w:sz w:val="19"/>
              </w:rPr>
              <w:t>A. A normalization standard requiring no repeating groups, no partial dependency on part of a composite key, and no transitive dependency between non-key attributes.</w:t>
            </w:r>
          </w:p>
        </w:tc>
      </w:tr>
      <w:tr>
        <w:tc>
          <w:tcPr>
            <w:tcW w:type="dxa" w:w="4320"/>
          </w:tcPr>
          <w:p>
            <w:r/>
            <w:r>
              <w:rPr>
                <w:b w:val="0"/>
                <w:sz w:val="19"/>
              </w:rPr>
              <w:t>D  2. Crow's Foot notation</w:t>
            </w:r>
          </w:p>
        </w:tc>
        <w:tc>
          <w:tcPr>
            <w:tcW w:type="dxa" w:w="5760"/>
          </w:tcPr>
          <w:p>
            <w:r/>
            <w:r>
              <w:rPr>
                <w:b w:val="0"/>
                <w:sz w:val="19"/>
              </w:rPr>
              <w:t>B. An architectural pattern that separates presentation, business logic, and data into distinct layers.</w:t>
            </w:r>
          </w:p>
        </w:tc>
      </w:tr>
      <w:tr>
        <w:tc>
          <w:tcPr>
            <w:tcW w:type="dxa" w:w="4320"/>
          </w:tcPr>
          <w:p>
            <w:r/>
            <w:r>
              <w:rPr>
                <w:b w:val="0"/>
                <w:sz w:val="19"/>
              </w:rPr>
              <w:t>E  3. Context Diagram (Level 0)</w:t>
            </w:r>
          </w:p>
        </w:tc>
        <w:tc>
          <w:tcPr>
            <w:tcW w:type="dxa" w:w="5760"/>
          </w:tcPr>
          <w:p>
            <w:r/>
            <w:r>
              <w:rPr>
                <w:b w:val="0"/>
                <w:sz w:val="19"/>
              </w:rPr>
              <w:t>C. A single deployable application with clearly separated internal modules, often the middle ground between a layered design and true microservices.</w:t>
            </w:r>
          </w:p>
        </w:tc>
      </w:tr>
      <w:tr>
        <w:tc>
          <w:tcPr>
            <w:tcW w:type="dxa" w:w="4320"/>
          </w:tcPr>
          <w:p>
            <w:r/>
            <w:r>
              <w:rPr>
                <w:b w:val="0"/>
                <w:sz w:val="19"/>
              </w:rPr>
              <w:t>A  4. Third Normal Form (3NF)</w:t>
            </w:r>
          </w:p>
        </w:tc>
        <w:tc>
          <w:tcPr>
            <w:tcW w:type="dxa" w:w="5760"/>
          </w:tcPr>
          <w:p>
            <w:r/>
            <w:r>
              <w:rPr>
                <w:b w:val="0"/>
                <w:sz w:val="19"/>
              </w:rPr>
              <w:t>D. A notation that expresses the cardinality of a relationship directly on the connecting line between two entities.</w:t>
            </w:r>
          </w:p>
        </w:tc>
      </w:tr>
      <w:tr>
        <w:tc>
          <w:tcPr>
            <w:tcW w:type="dxa" w:w="4320"/>
          </w:tcPr>
          <w:p>
            <w:r/>
            <w:r>
              <w:rPr>
                <w:b w:val="0"/>
                <w:sz w:val="19"/>
              </w:rPr>
              <w:t>C  5. Modular monolith</w:t>
            </w:r>
          </w:p>
        </w:tc>
        <w:tc>
          <w:tcPr>
            <w:tcW w:type="dxa" w:w="5760"/>
          </w:tcPr>
          <w:p>
            <w:r/>
            <w:r>
              <w:rPr>
                <w:b w:val="0"/>
                <w:sz w:val="19"/>
              </w:rPr>
              <w:t>E. A diagram that represents the entire system as a single process, showing only its boundary and external entities.</w:t>
            </w:r>
          </w:p>
        </w:tc>
      </w:tr>
    </w:tbl>
    <w:p/>
    <w:p>
      <w:r>
        <w:rPr>
          <w:b/>
          <w:i w:val="0"/>
          <w:color w:val="1E632E"/>
          <w:sz w:val="21"/>
        </w:rPr>
        <w:t>Matching key (filled): 1-B, 2-D, 3-E, 4-A, 5-C.</w:t>
      </w:r>
    </w:p>
    <w:p>
      <w:r>
        <w:rPr>
          <w:b w:val="0"/>
          <w:i w:val="0"/>
          <w:sz w:val="21"/>
        </w:rPr>
        <w:t>For Items 6 to 8, write TRUE or FALSE on the blank before each statement.</w:t>
      </w:r>
    </w:p>
    <w:p>
      <w:r>
        <w:rPr>
          <w:b w:val="0"/>
          <w:i w:val="0"/>
          <w:sz w:val="21"/>
        </w:rPr>
        <w:t>6. A capstone team should default to a microservices architecture because it demonstrates the most advanced technical skill.</w:t>
      </w:r>
    </w:p>
    <w:p>
      <w:r>
        <w:rPr>
          <w:b/>
          <w:color w:val="1E632E"/>
          <w:sz w:val="21"/>
        </w:rPr>
        <w:t xml:space="preserve">Answer: </w:t>
      </w:r>
      <w:r>
        <w:rPr>
          <w:color w:val="1E632E"/>
          <w:sz w:val="21"/>
        </w:rPr>
        <w:t>FALSE. Microservices are rarely necessary at capstone scale; a layered monolith or modular monolith is easier for a small team to build, test, and defend, and the panel will ask you to justify the added complexity.</w:t>
      </w:r>
    </w:p>
    <w:p>
      <w:r>
        <w:rPr>
          <w:b w:val="0"/>
          <w:i w:val="0"/>
          <w:sz w:val="21"/>
        </w:rPr>
        <w:t>7. A foreign key belongs on the many side of a one-to-many relationship.</w:t>
      </w:r>
    </w:p>
    <w:p>
      <w:r>
        <w:rPr>
          <w:b/>
          <w:color w:val="1E632E"/>
          <w:sz w:val="21"/>
        </w:rPr>
        <w:t xml:space="preserve">Answer: </w:t>
      </w:r>
      <w:r>
        <w:rPr>
          <w:color w:val="1E632E"/>
          <w:sz w:val="21"/>
        </w:rPr>
        <w:t>TRUE. The child (many) row carries the foreign key referencing the parent (one) row's primary key.</w:t>
      </w:r>
    </w:p>
    <w:p>
      <w:r>
        <w:rPr>
          <w:b w:val="0"/>
          <w:i w:val="0"/>
          <w:sz w:val="21"/>
        </w:rPr>
        <w:t>8. An interface's happy-path screens are sufficient for a validated UI/UX mockup, since error and empty states can be added later during construction.</w:t>
      </w:r>
    </w:p>
    <w:p>
      <w:r>
        <w:rPr>
          <w:b/>
          <w:color w:val="1E632E"/>
          <w:sz w:val="21"/>
        </w:rPr>
        <w:t xml:space="preserve">Answer: </w:t>
      </w:r>
      <w:r>
        <w:rPr>
          <w:color w:val="1E632E"/>
          <w:sz w:val="21"/>
        </w:rPr>
        <w:t>FALSE. A validated high-fidelity mockup must include error states, empty states, and confirmation dialogs; deferring them to construction hides real workflow gaps and usability risks.</w:t>
      </w:r>
    </w:p>
    <w:p>
      <w:r>
        <w:rPr>
          <w:b/>
          <w:color w:val="1F4E79"/>
          <w:sz w:val="24"/>
        </w:rPr>
        <w:t>Activity 2: Guided Application Worksheet</w:t>
      </w:r>
    </w:p>
    <w:p>
      <w:r>
        <w:rPr>
          <w:b w:val="0"/>
          <w:i w:val="0"/>
          <w:sz w:val="21"/>
        </w:rPr>
        <w:t>Items 9 to 11 use the short scenario below. Items 12 to 14 ask you to apply the same thinking to your own capstone project.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360"/>
      </w:tblGrid>
      <w:tr>
        <w:tc>
          <w:tcPr>
            <w:tcW w:type="dxa" w:w="9360"/>
            <w:shd w:val="clear" w:color="auto" w:fill="E8EEF7"/>
          </w:tcPr>
          <w:p>
            <w:r/>
            <w:r>
              <w:rPr>
                <w:b/>
                <w:color w:val="1F3B64"/>
                <w:sz w:val="19"/>
              </w:rPr>
              <w:t>SCENARIO</w:t>
            </w:r>
          </w:p>
          <w:p>
            <w:r>
              <w:rPr>
                <w:sz w:val="20"/>
              </w:rPr>
              <w:t>A proposal panel tells a team: "Your data model has no way to track whether a submitted request was approved, denied, or is still pending."</w:t>
            </w:r>
          </w:p>
        </w:tc>
      </w:tr>
    </w:tbl>
    <w:p/>
    <w:p>
      <w:r>
        <w:rPr>
          <w:b w:val="0"/>
          <w:i w:val="0"/>
          <w:sz w:val="21"/>
        </w:rPr>
        <w:t>9. Which schema-refinement checklist item does this recommendation most directly point to, and what new schema element would resolve it?</w:t>
      </w:r>
    </w:p>
    <w:p>
      <w:r>
        <w:rPr>
          <w:b/>
          <w:color w:val="1E632E"/>
          <w:sz w:val="21"/>
        </w:rPr>
        <w:t xml:space="preserve">Answer: </w:t>
      </w:r>
      <w:r>
        <w:rPr>
          <w:color w:val="1E632E"/>
          <w:sz w:val="21"/>
        </w:rPr>
        <w:t>It points to attribute definition (a missing status/audit field), and also to entity completeness. Resolve it by adding a status attribute to the Request entity, typed as an enum with the values PENDING, APPROVED, and DENIED and a NOT NULL default of PENDING, together with audit fields reviewedAt (datetime, nullable) and reviewedBy (foreign key to the reviewing user). If the team needs the full history of status changes, a separate RequestReview entity (one row per decision) is the fuller fix.</w:t>
      </w:r>
    </w:p>
    <w:p>
      <w:r>
        <w:rPr>
          <w:b w:val="0"/>
          <w:i w:val="0"/>
          <w:sz w:val="21"/>
        </w:rPr>
        <w:t>10. State the cardinality and participation between a new Request entity and an existing Applicant entity, using the sentence form modeled in the worked example.</w:t>
      </w:r>
    </w:p>
    <w:p>
      <w:r>
        <w:rPr>
          <w:b/>
          <w:color w:val="1E632E"/>
          <w:sz w:val="21"/>
        </w:rPr>
        <w:t xml:space="preserve">Answer: </w:t>
      </w:r>
      <w:r>
        <w:rPr>
          <w:color w:val="1E632E"/>
          <w:sz w:val="21"/>
        </w:rPr>
        <w:t>An Applicant may have zero or many Requests, and a Request must belong to exactly one Applicant.</w:t>
      </w:r>
    </w:p>
    <w:p>
      <w:r>
        <w:rPr>
          <w:b w:val="0"/>
          <w:i w:val="0"/>
          <w:sz w:val="21"/>
        </w:rPr>
        <w:t>11. Name two of the four architectural patterns covered in the concept review, and give one capstone-appropriate reason a team might choose each one.</w:t>
      </w:r>
    </w:p>
    <w:p>
      <w:pPr>
        <w:pStyle w:val="ListBullet"/>
      </w:pPr>
      <w:r>
        <w:rPr>
          <w:b/>
          <w:color w:val="1E632E"/>
          <w:sz w:val="21"/>
        </w:rPr>
        <w:t xml:space="preserve">Pattern A — Layered (n-tier): </w:t>
      </w:r>
      <w:r>
        <w:rPr>
          <w:color w:val="1E632E"/>
          <w:sz w:val="21"/>
        </w:rPr>
        <w:t>It cleanly separates presentation, business logic, and data, which makes it easy for a small team to build and test and easy for a panel to review.</w:t>
      </w:r>
    </w:p>
    <w:p>
      <w:pPr>
        <w:pStyle w:val="ListBullet"/>
      </w:pPr>
      <w:r>
        <w:rPr>
          <w:b/>
          <w:color w:val="1E632E"/>
          <w:sz w:val="21"/>
        </w:rPr>
        <w:t xml:space="preserve">Pattern B — Modular monolith: </w:t>
      </w:r>
      <w:r>
        <w:rPr>
          <w:color w:val="1E632E"/>
          <w:sz w:val="21"/>
        </w:rPr>
        <w:t>It keeps a single deployable application but splits it into clearly separated internal modules, which is the right middle ground when the system has several loosely related functional areas but true microservices would be overkill at capstone scale.</w:t>
      </w:r>
    </w:p>
    <w:p>
      <w:r>
        <w:rPr>
          <w:b w:val="0"/>
          <w:i w:val="0"/>
          <w:sz w:val="21"/>
        </w:rPr>
        <w:t>12. From your own Capstone 1 panel's recommendations, write down one recommendation that concerns your system's architecture, database schema, or data flow diagrams.</w:t>
      </w:r>
    </w:p>
    <w:p>
      <w:r>
        <w:rPr>
          <w:b/>
          <w:color w:val="1E632E"/>
          <w:sz w:val="21"/>
        </w:rPr>
        <w:t xml:space="preserve">Answer: </w:t>
      </w:r>
      <w:r>
        <w:rPr>
          <w:color w:val="1E632E"/>
          <w:sz w:val="21"/>
        </w:rPr>
        <w:t>Katuwang — the panel noted that the proposed data model had no way to record a tutor's qualification to teach a specific topic. The proposal only carried a single “is a tutor” flag, with no record of which subject-and-topic a tutor had been approved for, who approved it, or when. The panel asked us to model the tutor certification lifecycle explicitly so that teaching eligibility could be enforced and audited per topic.</w:t>
      </w:r>
    </w:p>
    <w:p>
      <w:r>
        <w:rPr>
          <w:b w:val="0"/>
          <w:i w:val="0"/>
          <w:sz w:val="21"/>
        </w:rPr>
        <w:t>13. Which of the six schema-refinement checklist items best addresses the recommendation you wrote in Item 12?</w:t>
      </w:r>
    </w:p>
    <w:p>
      <w:r>
        <w:rPr>
          <w:b/>
          <w:color w:val="1E632E"/>
          <w:sz w:val="21"/>
        </w:rPr>
        <w:t xml:space="preserve">Answer: </w:t>
      </w:r>
      <w:r>
        <w:rPr>
          <w:color w:val="1E632E"/>
          <w:sz w:val="21"/>
        </w:rPr>
        <w:t>Entity completeness — an entity implied by our narrative (the per-topic tutor certification) was never drawn in the proposal ERD. Attribute definition is the secondary check, because the new entity needs a well-typed status field and review/timestamp audit fields.</w:t>
      </w:r>
    </w:p>
    <w:p>
      <w:r>
        <w:rPr>
          <w:b w:val="0"/>
          <w:i w:val="0"/>
          <w:sz w:val="21"/>
        </w:rPr>
        <w:t>14. Describe, in your own words, the specific schema or architecture change your team will make in response to that recommendation.</w:t>
      </w:r>
    </w:p>
    <w:p>
      <w:r>
        <w:rPr>
          <w:b/>
          <w:color w:val="1E632E"/>
          <w:sz w:val="21"/>
        </w:rPr>
        <w:t xml:space="preserve">Answer: </w:t>
      </w:r>
      <w:r>
        <w:rPr>
          <w:color w:val="1E632E"/>
          <w:sz w:val="21"/>
        </w:rPr>
        <w:t>We added a TopicCertification entity: one row per (tutor profile, subject, topic). Its attributes are a status enum (PENDING → CERTIFIED or REJECTED, default PENDING), requestedAt, reviewedAt (set when an admin decides), certifiedAt, and reviewNote (admin feedback, mainly for a rejection). A unique constraint on (tutorProfileId, subject, topic) prevents duplicate rows, and the foreign key to TutorProfile cascades on delete. Cardinality: a TutorProfile may have zero or many TopicCertifications, and each TopicCertification belongs to exactly one TutorProfile. A tutor becomes eligible to open a class for a topic only when a matching row has status CERTIFIED, which is earned by passing that topic's qualifying assessment attempt.</w:t>
      </w:r>
    </w:p>
    <w:p>
      <w:r>
        <w:rPr>
          <w:b/>
          <w:color w:val="1F4E79"/>
          <w:sz w:val="24"/>
        </w:rPr>
        <w:t>Activity 3: Analysis and Synthesis Task</w:t>
      </w:r>
    </w:p>
    <w:p>
      <w:r>
        <w:rPr>
          <w:b w:val="0"/>
          <w:i w:val="0"/>
          <w:sz w:val="21"/>
        </w:rPr>
        <w:t>15. A team's barangay-based system was proposed as always-online client-server, but the panel noted that the barangay hall loses internet access for several hours at a time. Analyze this situation: what functionality and usability risks does the original design create for the system's actual end users?</w:t>
      </w:r>
    </w:p>
    <w:p>
      <w:r>
        <w:rPr>
          <w:b/>
          <w:color w:val="1E632E"/>
          <w:sz w:val="21"/>
        </w:rPr>
        <w:t xml:space="preserve">Answer: </w:t>
      </w:r>
      <w:r>
        <w:rPr>
          <w:color w:val="1E632E"/>
          <w:sz w:val="21"/>
        </w:rPr>
        <w:t>Functionality risks: the core task — recording a visit or submitting a request — becomes impossible during every outage, so the system is unavailable for hours of each working day. Users fall back to paper and then have to re-encode the data later, which is slow and introduces transcription errors, duplicate records, and lost entries. Any feature that assumes a live server call (validation, reference lookups, referrals) simply fails.</w:t>
      </w:r>
    </w:p>
    <w:p>
      <w:r>
        <w:rPr>
          <w:b/>
          <w:color w:val="1E632E"/>
          <w:sz w:val="21"/>
        </w:rPr>
        <w:t xml:space="preserve">Answer: </w:t>
      </w:r>
      <w:r>
        <w:rPr>
          <w:color w:val="1E632E"/>
          <w:sz w:val="21"/>
        </w:rPr>
        <w:t>Usability risks: if the failure is silent, the design violates visibility of system status — the worker cannot tell whether a save succeeded. It violates user control and freedom, because the worker is stuck with no offline path and no way to recover unsaved work. Error prevention and recovery are weak, since a dropped connection mid-save can corrupt or lose an entry. The likely real-world outcome is frustration, distrust of the system, and abandonment in favour of paper. The defensible fix is an offline-capable client that saves locally and syncs on reconnect, or at minimum an explicit offline banner plus local draft saving.</w:t>
      </w:r>
    </w:p>
    <w:p>
      <w:r>
        <w:rPr>
          <w:b w:val="0"/>
          <w:i w:val="0"/>
          <w:sz w:val="21"/>
        </w:rPr>
        <w:t>16. Using the four-part justification framework (functionality, security, scalability, and problem alignment), write a short justification for one major design decision in your own capstone project. Address all four dimensions.</w:t>
      </w:r>
    </w:p>
    <w:p>
      <w:r>
        <w:rPr>
          <w:b/>
          <w:color w:val="1E632E"/>
          <w:sz w:val="21"/>
        </w:rPr>
        <w:t xml:space="preserve">Answer: </w:t>
      </w:r>
      <w:r>
        <w:rPr>
          <w:color w:val="1E632E"/>
          <w:sz w:val="21"/>
        </w:rPr>
        <w:t>Decision (Katuwang): enforce double-blind anonymity between learners and tutors through a dedicated anonymous-ID layer.</w:t>
      </w:r>
    </w:p>
    <w:p>
      <w:pPr>
        <w:pStyle w:val="ListBullet"/>
      </w:pPr>
      <w:r>
        <w:rPr>
          <w:b/>
          <w:color w:val="1E632E"/>
          <w:sz w:val="21"/>
        </w:rPr>
        <w:t xml:space="preserve">Functionality: </w:t>
      </w:r>
      <w:r>
        <w:rPr>
          <w:color w:val="1E632E"/>
          <w:sz w:val="21"/>
        </w:rPr>
        <w:t>every peer-facing API response and screen returns only the internal id, the anonymous ID (STU-0001 for learners, TUT-0001 for tutors), and non-identifying data such as grade level and section — never real name, email, or contact info — which is exactly what the “organize peer tutoring” requirements need.</w:t>
      </w:r>
    </w:p>
    <w:p>
      <w:pPr>
        <w:pStyle w:val="ListBullet"/>
      </w:pPr>
      <w:r>
        <w:rPr>
          <w:b/>
          <w:color w:val="1E632E"/>
          <w:sz w:val="21"/>
        </w:rPr>
        <w:t xml:space="preserve">Security: </w:t>
      </w:r>
      <w:r>
        <w:rPr>
          <w:color w:val="1E632E"/>
          <w:sz w:val="21"/>
        </w:rPr>
        <w:t>real identities never cross the peer boundary; anonymous IDs are generated atomically by incrementing an IdCounter row inside a transaction (generateAnonymousId()), so concurrent registrations cannot collide; the only way an admin sees real tutor names is an explicit, gated showTutorRealNames platform setting, not a default; passwords are bcrypt-hashed and role checks run at the edge in the middleware guard.</w:t>
      </w:r>
    </w:p>
    <w:p>
      <w:pPr>
        <w:pStyle w:val="ListBullet"/>
      </w:pPr>
      <w:r>
        <w:rPr>
          <w:b/>
          <w:color w:val="1E632E"/>
          <w:sz w:val="21"/>
        </w:rPr>
        <w:t xml:space="preserve">Scalability: </w:t>
      </w:r>
      <w:r>
        <w:rPr>
          <w:color w:val="1E632E"/>
          <w:sz w:val="21"/>
        </w:rPr>
        <w:t>the sequential counter is a single indexed row and O(1) per registration; anonymousId is a unique indexed column; the design targets the TRIS population (a few thousand students across Grades 7–12), which fits comfortably in one MariaDB instance with no sharding.</w:t>
      </w:r>
    </w:p>
    <w:p>
      <w:pPr>
        <w:pStyle w:val="ListBullet"/>
      </w:pPr>
      <w:r>
        <w:rPr>
          <w:b/>
          <w:color w:val="1E632E"/>
          <w:sz w:val="21"/>
        </w:rPr>
        <w:t xml:space="preserve">Problem alignment: </w:t>
      </w:r>
      <w:r>
        <w:rPr>
          <w:color w:val="1E632E"/>
          <w:sz w:val="21"/>
        </w:rPr>
        <w:t>the platform exists to organize peer tutoring under the Data Privacy Act (RA 10173); keeping peers mutually anonymous is the core non-negotiable constraint from the problem statement, so this layer is central to the problem, not an add-on.</w:t>
      </w:r>
    </w:p>
    <w:p>
      <w:r>
        <w:rPr>
          <w:b w:val="0"/>
          <w:i w:val="0"/>
          <w:sz w:val="21"/>
        </w:rPr>
        <w:t>17. Identify one usability heuristic from the concept review that your own system's current UI/UX design does not yet fully satisfy, and describe the specific change you will make to satisfy it.</w:t>
      </w:r>
    </w:p>
    <w:p>
      <w:r>
        <w:rPr>
          <w:b/>
          <w:color w:val="1E632E"/>
          <w:sz w:val="21"/>
        </w:rPr>
        <w:t xml:space="preserve">Answer: </w:t>
      </w:r>
      <w:r>
        <w:rPr>
          <w:color w:val="1E632E"/>
          <w:sz w:val="21"/>
        </w:rPr>
        <w:t>Heuristic: visibility of system status (with error prevention and user control). On the learner “Find a Tutor” results screen, when the matching algorithm returns only low scores or no candidate classes, the current mockup shows a thin or empty list with no explanation, which leaves the learner at a dead end. Change: add an explicit low/no-match empty state that says “No strong match right now,” explains why in one line, and surfaces a primary “Post a topic request” call to action plus a secondary “Browse all classes” link, so the learner always has a clear next step.</w:t>
      </w:r>
    </w:p>
    <w:p>
      <w:pPr>
        <w:pBdr>
          <w:bottom w:val="single" w:sz="6" w:color="1F4E79" w:space="2"/>
        </w:pBdr>
      </w:pPr>
      <w:r>
        <w:rPr>
          <w:b/>
          <w:color w:val="1F4E79"/>
          <w:sz w:val="30"/>
        </w:rPr>
        <w:t>Final Assessment</w:t>
      </w:r>
    </w:p>
    <w:p>
      <w:r>
        <w:rPr>
          <w:b w:val="0"/>
          <w:i w:val="0"/>
          <w:sz w:val="21"/>
        </w:rPr>
        <w:t>This assessment continues the item numbering from the Learning Activities above. It has 30 items worth a total of 100 points, in three parts: Part I is objective (Items 18 to 32, 2 points each), Part II is application (Items 33 to 42, 4 points each), and Part III is analysis and essay (Items 43 to 47, 6 points each). Follow your instructor's time limit and instructions for open-book or closed-book conditions. Write your answers directly on this module unless your instructor tells you otherwise.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type="dxa" w:w="2304"/>
          </w:tcPr>
          <w:p>
            <w:r/>
            <w:r>
              <w:rPr>
                <w:b/>
                <w:sz w:val="20"/>
              </w:rPr>
              <w:t>Name</w:t>
            </w:r>
          </w:p>
        </w:tc>
        <w:tc>
          <w:tcPr>
            <w:tcW w:type="dxa" w:w="7056"/>
          </w:tcPr>
          <w:p>
            <w:r/>
            <w:r>
              <w:rPr>
                <w:b w:val="0"/>
                <w:sz w:val="20"/>
              </w:rPr>
            </w:r>
          </w:p>
        </w:tc>
      </w:tr>
      <w:tr>
        <w:tc>
          <w:tcPr>
            <w:tcW w:type="dxa" w:w="2304"/>
          </w:tcPr>
          <w:p>
            <w:r/>
            <w:r>
              <w:rPr>
                <w:b/>
                <w:sz w:val="20"/>
              </w:rPr>
              <w:t>Section / Team</w:t>
            </w:r>
          </w:p>
        </w:tc>
        <w:tc>
          <w:tcPr>
            <w:tcW w:type="dxa" w:w="7056"/>
          </w:tcPr>
          <w:p>
            <w:r/>
            <w:r>
              <w:rPr>
                <w:b w:val="0"/>
                <w:sz w:val="20"/>
              </w:rPr>
            </w:r>
          </w:p>
        </w:tc>
      </w:tr>
      <w:tr>
        <w:tc>
          <w:tcPr>
            <w:tcW w:type="dxa" w:w="2304"/>
          </w:tcPr>
          <w:p>
            <w:r/>
            <w:r>
              <w:rPr>
                <w:b/>
                <w:sz w:val="20"/>
              </w:rPr>
              <w:t>Date</w:t>
            </w:r>
          </w:p>
        </w:tc>
        <w:tc>
          <w:tcPr>
            <w:tcW w:type="dxa" w:w="7056"/>
          </w:tcPr>
          <w:p>
            <w:r/>
            <w:r>
              <w:rPr>
                <w:b w:val="0"/>
                <w:sz w:val="20"/>
              </w:rPr>
            </w:r>
          </w:p>
        </w:tc>
      </w:tr>
    </w:tbl>
    <w:p/>
    <w:p>
      <w:r>
        <w:rPr>
          <w:b/>
          <w:color w:val="1F4E79"/>
          <w:sz w:val="24"/>
        </w:rPr>
        <w:t>Part I. Objective (Items 18 to 32, 2 points each)</w:t>
      </w:r>
    </w:p>
    <w:p>
      <w:r>
        <w:rPr>
          <w:b w:val="0"/>
          <w:i w:val="0"/>
          <w:sz w:val="21"/>
        </w:rPr>
        <w:t>For Items 18 to 27, write the letter of the best answer on the blank before each number. For Items 28 to 32, write the single term or short phrase being described.</w:t>
      </w:r>
    </w:p>
    <w:p>
      <w:r>
        <w:rPr>
          <w:b w:val="0"/>
          <w:i w:val="0"/>
          <w:sz w:val="21"/>
        </w:rPr>
        <w:t>18. Which architectural pattern separates a system into presentation, business logic, and data layers?</w:t>
      </w:r>
    </w:p>
    <w:p>
      <w:pPr>
        <w:ind w:left="576"/>
      </w:pPr>
      <w:r>
        <w:rPr>
          <w:sz w:val="20"/>
        </w:rPr>
        <w:t>A. Client-server</w:t>
      </w:r>
    </w:p>
    <w:p>
      <w:pPr>
        <w:ind w:left="576"/>
      </w:pPr>
      <w:r>
        <w:rPr>
          <w:sz w:val="20"/>
        </w:rPr>
        <w:t>B. Layered (n-tier)</w:t>
      </w:r>
    </w:p>
    <w:p>
      <w:pPr>
        <w:ind w:left="576"/>
      </w:pPr>
      <w:r>
        <w:rPr>
          <w:sz w:val="20"/>
        </w:rPr>
        <w:t>C. Microservices</w:t>
      </w:r>
    </w:p>
    <w:p>
      <w:pPr>
        <w:ind w:left="576"/>
      </w:pPr>
      <w:r>
        <w:rPr>
          <w:sz w:val="20"/>
        </w:rPr>
        <w:t>D. Model-View-Controller</w:t>
      </w:r>
    </w:p>
    <w:p>
      <w:r>
        <w:rPr>
          <w:b/>
          <w:color w:val="1E632E"/>
          <w:sz w:val="21"/>
        </w:rPr>
        <w:t xml:space="preserve">Answer: </w:t>
      </w:r>
      <w:r>
        <w:rPr>
          <w:color w:val="1E632E"/>
          <w:sz w:val="21"/>
        </w:rPr>
        <w:t>B</w:t>
      </w:r>
    </w:p>
    <w:p>
      <w:r>
        <w:rPr>
          <w:b w:val="0"/>
          <w:i w:val="0"/>
          <w:sz w:val="21"/>
        </w:rPr>
        <w:t>19. A team proposes true microservices for a system with three users and one functional module. Based on the concept review, what is the most likely panel reaction?</w:t>
      </w:r>
    </w:p>
    <w:p>
      <w:pPr>
        <w:ind w:left="576"/>
      </w:pPr>
      <w:r>
        <w:rPr>
          <w:sz w:val="20"/>
        </w:rPr>
        <w:t>A. Approval, since microservices are always the most modern choice</w:t>
      </w:r>
    </w:p>
    <w:p>
      <w:pPr>
        <w:ind w:left="576"/>
      </w:pPr>
      <w:r>
        <w:rPr>
          <w:sz w:val="20"/>
        </w:rPr>
        <w:t>B. A request to justify the choice, since microservices are rarely necessary at capstone scale</w:t>
      </w:r>
    </w:p>
    <w:p>
      <w:pPr>
        <w:ind w:left="576"/>
      </w:pPr>
      <w:r>
        <w:rPr>
          <w:sz w:val="20"/>
        </w:rPr>
        <w:t>C. No comment, since architecture choice does not require justification</w:t>
      </w:r>
    </w:p>
    <w:p>
      <w:pPr>
        <w:ind w:left="576"/>
      </w:pPr>
      <w:r>
        <w:rPr>
          <w:sz w:val="20"/>
        </w:rPr>
        <w:t>D. A requirement to switch to a distributed database</w:t>
      </w:r>
    </w:p>
    <w:p>
      <w:r>
        <w:rPr>
          <w:b/>
          <w:color w:val="1E632E"/>
          <w:sz w:val="21"/>
        </w:rPr>
        <w:t xml:space="preserve">Answer: </w:t>
      </w:r>
      <w:r>
        <w:rPr>
          <w:color w:val="1E632E"/>
          <w:sz w:val="21"/>
        </w:rPr>
        <w:t>B</w:t>
      </w:r>
    </w:p>
    <w:p>
      <w:r>
        <w:rPr>
          <w:b w:val="0"/>
          <w:i w:val="0"/>
          <w:sz w:val="21"/>
        </w:rPr>
        <w:t>20. Which of the following is NOT one of the six schema-refinement checklist items?</w:t>
      </w:r>
    </w:p>
    <w:p>
      <w:pPr>
        <w:ind w:left="576"/>
      </w:pPr>
      <w:r>
        <w:rPr>
          <w:sz w:val="20"/>
        </w:rPr>
        <w:t>A. Entity completeness</w:t>
      </w:r>
    </w:p>
    <w:p>
      <w:pPr>
        <w:ind w:left="576"/>
      </w:pPr>
      <w:r>
        <w:rPr>
          <w:sz w:val="20"/>
        </w:rPr>
        <w:t>B. Attribute definition</w:t>
      </w:r>
    </w:p>
    <w:p>
      <w:pPr>
        <w:ind w:left="576"/>
      </w:pPr>
      <w:r>
        <w:rPr>
          <w:sz w:val="20"/>
        </w:rPr>
        <w:t>C. Version control branching strategy</w:t>
      </w:r>
    </w:p>
    <w:p>
      <w:pPr>
        <w:ind w:left="576"/>
      </w:pPr>
      <w:r>
        <w:rPr>
          <w:sz w:val="20"/>
        </w:rPr>
        <w:t>D. Referential integrity and cascade rules</w:t>
      </w:r>
    </w:p>
    <w:p>
      <w:r>
        <w:rPr>
          <w:b/>
          <w:color w:val="1E632E"/>
          <w:sz w:val="21"/>
        </w:rPr>
        <w:t xml:space="preserve">Answer: </w:t>
      </w:r>
      <w:r>
        <w:rPr>
          <w:color w:val="1E632E"/>
          <w:sz w:val="21"/>
        </w:rPr>
        <w:t>C</w:t>
      </w:r>
    </w:p>
    <w:p>
      <w:r>
        <w:rPr>
          <w:b w:val="0"/>
          <w:i w:val="0"/>
          <w:sz w:val="21"/>
        </w:rPr>
        <w:t>21. A password field in a schema should be documented as</w:t>
      </w:r>
    </w:p>
    <w:p>
      <w:pPr>
        <w:ind w:left="576"/>
      </w:pPr>
      <w:r>
        <w:rPr>
          <w:sz w:val="20"/>
        </w:rPr>
        <w:t>A. A plain-text string field</w:t>
      </w:r>
    </w:p>
    <w:p>
      <w:pPr>
        <w:ind w:left="576"/>
      </w:pPr>
      <w:r>
        <w:rPr>
          <w:sz w:val="20"/>
        </w:rPr>
        <w:t>B. A field to be hashed before storage</w:t>
      </w:r>
    </w:p>
    <w:p>
      <w:pPr>
        <w:ind w:left="576"/>
      </w:pPr>
      <w:r>
        <w:rPr>
          <w:sz w:val="20"/>
        </w:rPr>
        <w:t>C. An optional field</w:t>
      </w:r>
    </w:p>
    <w:p>
      <w:pPr>
        <w:ind w:left="576"/>
      </w:pPr>
      <w:r>
        <w:rPr>
          <w:sz w:val="20"/>
        </w:rPr>
        <w:t>D. A foreign key</w:t>
      </w:r>
    </w:p>
    <w:p>
      <w:r>
        <w:rPr>
          <w:b/>
          <w:color w:val="1E632E"/>
          <w:sz w:val="21"/>
        </w:rPr>
        <w:t xml:space="preserve">Answer: </w:t>
      </w:r>
      <w:r>
        <w:rPr>
          <w:color w:val="1E632E"/>
          <w:sz w:val="21"/>
        </w:rPr>
        <w:t>B</w:t>
      </w:r>
    </w:p>
    <w:p>
      <w:r>
        <w:rPr>
          <w:b w:val="0"/>
          <w:i w:val="0"/>
          <w:sz w:val="21"/>
        </w:rPr>
        <w:t>22. Which normal form specifically eliminates transitive dependency of a non-key attribute on another non-key attribute?</w:t>
      </w:r>
    </w:p>
    <w:p>
      <w:pPr>
        <w:ind w:left="576"/>
      </w:pPr>
      <w:r>
        <w:rPr>
          <w:sz w:val="20"/>
        </w:rPr>
        <w:t>A. First Normal Form (1NF)</w:t>
      </w:r>
    </w:p>
    <w:p>
      <w:pPr>
        <w:ind w:left="576"/>
      </w:pPr>
      <w:r>
        <w:rPr>
          <w:sz w:val="20"/>
        </w:rPr>
        <w:t>B. Second Normal Form (2NF)</w:t>
      </w:r>
    </w:p>
    <w:p>
      <w:pPr>
        <w:ind w:left="576"/>
      </w:pPr>
      <w:r>
        <w:rPr>
          <w:sz w:val="20"/>
        </w:rPr>
        <w:t>C. Third Normal Form (3NF)</w:t>
      </w:r>
    </w:p>
    <w:p>
      <w:pPr>
        <w:ind w:left="576"/>
      </w:pPr>
      <w:r>
        <w:rPr>
          <w:sz w:val="20"/>
        </w:rPr>
        <w:t>D. Boyce-Codd Normal Form (BCNF)</w:t>
      </w:r>
    </w:p>
    <w:p>
      <w:r>
        <w:rPr>
          <w:b/>
          <w:color w:val="1E632E"/>
          <w:sz w:val="21"/>
        </w:rPr>
        <w:t xml:space="preserve">Answer: </w:t>
      </w:r>
      <w:r>
        <w:rPr>
          <w:color w:val="1E632E"/>
          <w:sz w:val="21"/>
        </w:rPr>
        <w:t>C</w:t>
      </w:r>
    </w:p>
    <w:p>
      <w:r>
        <w:rPr>
          <w:b w:val="0"/>
          <w:i w:val="0"/>
          <w:sz w:val="21"/>
        </w:rPr>
        <w:t>23. In Crow's Foot notation, cardinality is expressed</w:t>
      </w:r>
    </w:p>
    <w:p>
      <w:pPr>
        <w:ind w:left="576"/>
      </w:pPr>
      <w:r>
        <w:rPr>
          <w:sz w:val="20"/>
        </w:rPr>
        <w:t>A. In a separate table</w:t>
      </w:r>
    </w:p>
    <w:p>
      <w:pPr>
        <w:ind w:left="576"/>
      </w:pPr>
      <w:r>
        <w:rPr>
          <w:sz w:val="20"/>
        </w:rPr>
        <w:t>B. Directly on the line connecting two entities</w:t>
      </w:r>
    </w:p>
    <w:p>
      <w:pPr>
        <w:ind w:left="576"/>
      </w:pPr>
      <w:r>
        <w:rPr>
          <w:sz w:val="20"/>
        </w:rPr>
        <w:t>C. Only in the data dictionary</w:t>
      </w:r>
    </w:p>
    <w:p>
      <w:pPr>
        <w:ind w:left="576"/>
      </w:pPr>
      <w:r>
        <w:rPr>
          <w:sz w:val="20"/>
        </w:rPr>
        <w:t>D. Only through color coding</w:t>
      </w:r>
    </w:p>
    <w:p>
      <w:r>
        <w:rPr>
          <w:b/>
          <w:color w:val="1E632E"/>
          <w:sz w:val="21"/>
        </w:rPr>
        <w:t xml:space="preserve">Answer: </w:t>
      </w:r>
      <w:r>
        <w:rPr>
          <w:color w:val="1E632E"/>
          <w:sz w:val="21"/>
        </w:rPr>
        <w:t>B</w:t>
      </w:r>
    </w:p>
    <w:p>
      <w:r>
        <w:rPr>
          <w:b w:val="0"/>
          <w:i w:val="0"/>
          <w:sz w:val="21"/>
        </w:rPr>
        <w:t>24. Which DFD level represents the entire system as a single process, showing only its boundary and external entities?</w:t>
      </w:r>
    </w:p>
    <w:p>
      <w:pPr>
        <w:ind w:left="576"/>
      </w:pPr>
      <w:r>
        <w:rPr>
          <w:sz w:val="20"/>
        </w:rPr>
        <w:t>A. Level 2</w:t>
      </w:r>
    </w:p>
    <w:p>
      <w:pPr>
        <w:ind w:left="576"/>
      </w:pPr>
      <w:r>
        <w:rPr>
          <w:sz w:val="20"/>
        </w:rPr>
        <w:t>B. Level 1</w:t>
      </w:r>
    </w:p>
    <w:p>
      <w:pPr>
        <w:ind w:left="576"/>
      </w:pPr>
      <w:r>
        <w:rPr>
          <w:sz w:val="20"/>
        </w:rPr>
        <w:t>C. Context Diagram (Level 0)</w:t>
      </w:r>
    </w:p>
    <w:p>
      <w:pPr>
        <w:ind w:left="576"/>
      </w:pPr>
      <w:r>
        <w:rPr>
          <w:sz w:val="20"/>
        </w:rPr>
        <w:t>D. Sequence diagram</w:t>
      </w:r>
    </w:p>
    <w:p>
      <w:r>
        <w:rPr>
          <w:b/>
          <w:color w:val="1E632E"/>
          <w:sz w:val="21"/>
        </w:rPr>
        <w:t xml:space="preserve">Answer: </w:t>
      </w:r>
      <w:r>
        <w:rPr>
          <w:color w:val="1E632E"/>
          <w:sz w:val="21"/>
        </w:rPr>
        <w:t>C</w:t>
      </w:r>
    </w:p>
    <w:p>
      <w:r>
        <w:rPr>
          <w:b w:val="0"/>
          <w:i w:val="0"/>
          <w:sz w:val="21"/>
        </w:rPr>
        <w:t>25. A sequence diagram is most useful for documenting</w:t>
      </w:r>
    </w:p>
    <w:p>
      <w:pPr>
        <w:ind w:left="576"/>
      </w:pPr>
      <w:r>
        <w:rPr>
          <w:sz w:val="20"/>
        </w:rPr>
        <w:t>A. Data storage requirements</w:t>
      </w:r>
    </w:p>
    <w:p>
      <w:pPr>
        <w:ind w:left="576"/>
      </w:pPr>
      <w:r>
        <w:rPr>
          <w:sz w:val="20"/>
        </w:rPr>
        <w:t>B. The step-by-step interaction between the client, the API layer, and the database for one transaction</w:t>
      </w:r>
    </w:p>
    <w:p>
      <w:pPr>
        <w:ind w:left="576"/>
      </w:pPr>
      <w:r>
        <w:rPr>
          <w:sz w:val="20"/>
        </w:rPr>
        <w:t>C. Color and typography standards</w:t>
      </w:r>
    </w:p>
    <w:p>
      <w:pPr>
        <w:ind w:left="576"/>
      </w:pPr>
      <w:r>
        <w:rPr>
          <w:sz w:val="20"/>
        </w:rPr>
        <w:t>D. Entity relationships</w:t>
      </w:r>
    </w:p>
    <w:p>
      <w:r>
        <w:rPr>
          <w:b/>
          <w:color w:val="1E632E"/>
          <w:sz w:val="21"/>
        </w:rPr>
        <w:t xml:space="preserve">Answer: </w:t>
      </w:r>
      <w:r>
        <w:rPr>
          <w:color w:val="1E632E"/>
          <w:sz w:val="21"/>
        </w:rPr>
        <w:t>B</w:t>
      </w:r>
    </w:p>
    <w:p>
      <w:r>
        <w:rPr>
          <w:b w:val="0"/>
          <w:i w:val="0"/>
          <w:sz w:val="21"/>
        </w:rPr>
        <w:t>26. Which usability heuristic is being applied when a system shows a loading indicator while a report is generating?</w:t>
      </w:r>
    </w:p>
    <w:p>
      <w:pPr>
        <w:ind w:left="576"/>
      </w:pPr>
      <w:r>
        <w:rPr>
          <w:sz w:val="20"/>
        </w:rPr>
        <w:t>A. Consistency and standards</w:t>
      </w:r>
    </w:p>
    <w:p>
      <w:pPr>
        <w:ind w:left="576"/>
      </w:pPr>
      <w:r>
        <w:rPr>
          <w:sz w:val="20"/>
        </w:rPr>
        <w:t>B. Visibility of system status</w:t>
      </w:r>
    </w:p>
    <w:p>
      <w:pPr>
        <w:ind w:left="576"/>
      </w:pPr>
      <w:r>
        <w:rPr>
          <w:sz w:val="20"/>
        </w:rPr>
        <w:t>C. Error prevention</w:t>
      </w:r>
    </w:p>
    <w:p>
      <w:pPr>
        <w:ind w:left="576"/>
      </w:pPr>
      <w:r>
        <w:rPr>
          <w:sz w:val="20"/>
        </w:rPr>
        <w:t>D. Accessibility</w:t>
      </w:r>
    </w:p>
    <w:p>
      <w:r>
        <w:rPr>
          <w:b/>
          <w:color w:val="1E632E"/>
          <w:sz w:val="21"/>
        </w:rPr>
        <w:t xml:space="preserve">Answer: </w:t>
      </w:r>
      <w:r>
        <w:rPr>
          <w:color w:val="1E632E"/>
          <w:sz w:val="21"/>
        </w:rPr>
        <w:t>B</w:t>
      </w:r>
    </w:p>
    <w:p>
      <w:r>
        <w:rPr>
          <w:b w:val="0"/>
          <w:i w:val="0"/>
          <w:sz w:val="21"/>
        </w:rPr>
        <w:t>27. Which of the four design-justification dimensions is addressed by the statement, "Passwords are hashed using bcrypt before storage"?</w:t>
      </w:r>
    </w:p>
    <w:p>
      <w:pPr>
        <w:ind w:left="576"/>
      </w:pPr>
      <w:r>
        <w:rPr>
          <w:sz w:val="20"/>
        </w:rPr>
        <w:t>A. Functionality</w:t>
      </w:r>
    </w:p>
    <w:p>
      <w:pPr>
        <w:ind w:left="576"/>
      </w:pPr>
      <w:r>
        <w:rPr>
          <w:sz w:val="20"/>
        </w:rPr>
        <w:t>B. Security</w:t>
      </w:r>
    </w:p>
    <w:p>
      <w:pPr>
        <w:ind w:left="576"/>
      </w:pPr>
      <w:r>
        <w:rPr>
          <w:sz w:val="20"/>
        </w:rPr>
        <w:t>C. Scalability</w:t>
      </w:r>
    </w:p>
    <w:p>
      <w:pPr>
        <w:ind w:left="576"/>
      </w:pPr>
      <w:r>
        <w:rPr>
          <w:sz w:val="20"/>
        </w:rPr>
        <w:t>D. Problem alignment</w:t>
      </w:r>
    </w:p>
    <w:p>
      <w:r>
        <w:rPr>
          <w:b/>
          <w:color w:val="1E632E"/>
          <w:sz w:val="21"/>
        </w:rPr>
        <w:t xml:space="preserve">Answer: </w:t>
      </w:r>
      <w:r>
        <w:rPr>
          <w:color w:val="1E632E"/>
          <w:sz w:val="21"/>
        </w:rPr>
        <w:t>B</w:t>
      </w:r>
    </w:p>
    <w:p>
      <w:r>
        <w:rPr>
          <w:b w:val="0"/>
          <w:i w:val="0"/>
          <w:sz w:val="21"/>
        </w:rPr>
        <w:t>28. The tool named in the concept review for defining a schema through a lightweight text-based syntax that instantly renders a diagram:</w:t>
      </w:r>
    </w:p>
    <w:p>
      <w:r>
        <w:rPr>
          <w:b/>
          <w:color w:val="1E632E"/>
          <w:sz w:val="21"/>
        </w:rPr>
        <w:t xml:space="preserve">Answer: </w:t>
      </w:r>
      <w:r>
        <w:rPr>
          <w:color w:val="1E632E"/>
          <w:sz w:val="21"/>
        </w:rPr>
        <w:t>A diagram-as-code ERD tool (text-to-diagram), e.g. Mermaid or a DBML-based tool — you write the schema in a short text syntax and it renders the ER diagram automatically.</w:t>
      </w:r>
    </w:p>
    <w:p>
      <w:r>
        <w:rPr>
          <w:b w:val="0"/>
          <w:i w:val="0"/>
          <w:sz w:val="21"/>
        </w:rPr>
        <w:t>29. The single deployable application with clearly separated internal modules, often the middle ground between a layered design and true microservices:</w:t>
      </w:r>
    </w:p>
    <w:p>
      <w:r>
        <w:rPr>
          <w:b/>
          <w:color w:val="1E632E"/>
          <w:sz w:val="21"/>
        </w:rPr>
        <w:t xml:space="preserve">Answer: </w:t>
      </w:r>
      <w:r>
        <w:rPr>
          <w:color w:val="1E632E"/>
          <w:sz w:val="21"/>
        </w:rPr>
        <w:t>Modular monolith</w:t>
      </w:r>
    </w:p>
    <w:p>
      <w:r>
        <w:rPr>
          <w:b w:val="0"/>
          <w:i w:val="0"/>
          <w:sz w:val="21"/>
        </w:rPr>
        <w:t>30. The type of key placed on the many side of a one-to-many relationship:</w:t>
      </w:r>
    </w:p>
    <w:p>
      <w:r>
        <w:rPr>
          <w:b/>
          <w:color w:val="1E632E"/>
          <w:sz w:val="21"/>
        </w:rPr>
        <w:t xml:space="preserve">Answer: </w:t>
      </w:r>
      <w:r>
        <w:rPr>
          <w:color w:val="1E632E"/>
          <w:sz w:val="21"/>
        </w:rPr>
        <w:t>Foreign key</w:t>
      </w:r>
    </w:p>
    <w:p>
      <w:r>
        <w:rPr>
          <w:b w:val="0"/>
          <w:i w:val="0"/>
          <w:sz w:val="21"/>
        </w:rPr>
        <w:t>31. The stage of UI/UX refinement where error states, empty states, and confirmation dialogs must be designed, not just the happy path:</w:t>
      </w:r>
    </w:p>
    <w:p>
      <w:r>
        <w:rPr>
          <w:b/>
          <w:color w:val="1E632E"/>
          <w:sz w:val="21"/>
        </w:rPr>
        <w:t xml:space="preserve">Answer: </w:t>
      </w:r>
      <w:r>
        <w:rPr>
          <w:color w:val="1E632E"/>
          <w:sz w:val="21"/>
        </w:rPr>
        <w:t>The (high-fidelity) refinement stage — the validated high-fidelity mockup.</w:t>
      </w:r>
    </w:p>
    <w:p>
      <w:r>
        <w:rPr>
          <w:b w:val="0"/>
          <w:i w:val="0"/>
          <w:sz w:val="21"/>
        </w:rPr>
        <w:t>32. The four dimensions used to justify a design decision in this module:</w:t>
      </w:r>
    </w:p>
    <w:p>
      <w:r>
        <w:rPr>
          <w:b/>
          <w:color w:val="1E632E"/>
          <w:sz w:val="21"/>
        </w:rPr>
        <w:t xml:space="preserve">Answer: </w:t>
      </w:r>
      <w:r>
        <w:rPr>
          <w:color w:val="1E632E"/>
          <w:sz w:val="21"/>
        </w:rPr>
        <w:t>Functionality, Security, Scalability, and Problem alignment.</w:t>
      </w:r>
    </w:p>
    <w:p>
      <w:r>
        <w:rPr>
          <w:b/>
          <w:color w:val="1F4E79"/>
          <w:sz w:val="24"/>
        </w:rPr>
        <w:t>Part II. Application (Items 33 to 42, 4 points each)</w:t>
      </w:r>
    </w:p>
    <w:p>
      <w:r>
        <w:rPr>
          <w:b w:val="0"/>
          <w:i w:val="0"/>
          <w:sz w:val="21"/>
        </w:rPr>
        <w:t>Items 33 to 38 use the scenario below. Items 39 to 42 ask you to apply the same thinking to your own capstone project.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360"/>
      </w:tblGrid>
      <w:tr>
        <w:tc>
          <w:tcPr>
            <w:tcW w:type="dxa" w:w="9360"/>
            <w:shd w:val="clear" w:color="auto" w:fill="E8EEF7"/>
          </w:tcPr>
          <w:p>
            <w:r/>
            <w:r>
              <w:rPr>
                <w:b/>
                <w:color w:val="1F3B64"/>
                <w:sz w:val="19"/>
              </w:rPr>
              <w:t>SCENARIO</w:t>
            </w:r>
          </w:p>
          <w:p>
            <w:r>
              <w:rPr>
                <w:sz w:val="20"/>
              </w:rPr>
              <w:t>A capstone team is building a Cooperative Loan Management System for a multipurpose cooperative. At their Capstone 1 defense, the panel gave three recommendations: (1) the schema does not show how a loan's repayment status is tracked over time; (2) the architecture does not specify what happens if the loan officer's device loses connection while encoding a new loan application; (3) the mockups do not show what a loan officer sees when a member has multiple active loans.</w:t>
            </w:r>
          </w:p>
        </w:tc>
      </w:tr>
    </w:tbl>
    <w:p/>
    <w:p>
      <w:r>
        <w:rPr>
          <w:b w:val="0"/>
          <w:i w:val="0"/>
          <w:sz w:val="21"/>
        </w:rPr>
        <w:t>33. Propose a new entity that would resolve Recommendation 1. Give it at least three attributes and complete the table below.</w:t>
      </w:r>
    </w:p>
    <w:p>
      <w:r>
        <w:rPr>
          <w:b/>
          <w:i w:val="0"/>
          <w:color w:val="1E632E"/>
          <w:sz w:val="21"/>
        </w:rPr>
        <w:t>Proposed entity: Repayment (one row per scheduled installment of a loan).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2736"/>
            <w:shd w:val="clear" w:color="auto" w:fill="DEEAF6"/>
          </w:tcPr>
          <w:p>
            <w:r/>
            <w:r>
              <w:rPr>
                <w:b/>
                <w:color w:val="1F3B64"/>
                <w:sz w:val="19"/>
              </w:rPr>
              <w:t>Attribute</w:t>
            </w:r>
          </w:p>
        </w:tc>
        <w:tc>
          <w:tcPr>
            <w:tcW w:type="dxa" w:w="3744"/>
            <w:shd w:val="clear" w:color="auto" w:fill="DEEAF6"/>
          </w:tcPr>
          <w:p>
            <w:r/>
            <w:r>
              <w:rPr>
                <w:b/>
                <w:color w:val="1F3B64"/>
                <w:sz w:val="19"/>
              </w:rPr>
              <w:t>Data Type</w:t>
            </w:r>
          </w:p>
        </w:tc>
        <w:tc>
          <w:tcPr>
            <w:tcW w:type="dxa" w:w="3744"/>
            <w:shd w:val="clear" w:color="auto" w:fill="DEEAF6"/>
          </w:tcPr>
          <w:p>
            <w:r/>
            <w:r>
              <w:rPr>
                <w:b/>
                <w:color w:val="1F3B64"/>
                <w:sz w:val="19"/>
              </w:rPr>
              <w:t>Constraint</w:t>
            </w:r>
          </w:p>
        </w:tc>
      </w:tr>
      <w:tr>
        <w:tc>
          <w:tcPr>
            <w:tcW w:type="dxa" w:w="2736"/>
          </w:tcPr>
          <w:p>
            <w:r/>
            <w:r>
              <w:rPr>
                <w:b w:val="0"/>
                <w:sz w:val="19"/>
              </w:rPr>
              <w:t>repayment_id</w:t>
            </w:r>
          </w:p>
        </w:tc>
        <w:tc>
          <w:tcPr>
            <w:tcW w:type="dxa" w:w="3744"/>
          </w:tcPr>
          <w:p>
            <w:r/>
            <w:r>
              <w:rPr>
                <w:b w:val="0"/>
                <w:sz w:val="19"/>
              </w:rPr>
              <w:t>BIGINT (auto-increment)</w:t>
            </w:r>
          </w:p>
        </w:tc>
        <w:tc>
          <w:tcPr>
            <w:tcW w:type="dxa" w:w="3744"/>
          </w:tcPr>
          <w:p>
            <w:r/>
            <w:r>
              <w:rPr>
                <w:b w:val="0"/>
                <w:sz w:val="19"/>
              </w:rPr>
              <w:t>Primary key</w:t>
            </w:r>
          </w:p>
        </w:tc>
      </w:tr>
      <w:tr>
        <w:tc>
          <w:tcPr>
            <w:tcW w:type="dxa" w:w="2736"/>
          </w:tcPr>
          <w:p>
            <w:r/>
            <w:r>
              <w:rPr>
                <w:b w:val="0"/>
                <w:sz w:val="19"/>
              </w:rPr>
              <w:t>loan_id</w:t>
            </w:r>
          </w:p>
        </w:tc>
        <w:tc>
          <w:tcPr>
            <w:tcW w:type="dxa" w:w="3744"/>
          </w:tcPr>
          <w:p>
            <w:r/>
            <w:r>
              <w:rPr>
                <w:b w:val="0"/>
                <w:sz w:val="19"/>
              </w:rPr>
              <w:t>BIGINT</w:t>
            </w:r>
          </w:p>
        </w:tc>
        <w:tc>
          <w:tcPr>
            <w:tcW w:type="dxa" w:w="3744"/>
          </w:tcPr>
          <w:p>
            <w:r/>
            <w:r>
              <w:rPr>
                <w:b w:val="0"/>
                <w:sz w:val="19"/>
              </w:rPr>
              <w:t>Foreign key → Loan(loan_id), NOT NULL, ON DELETE CASCADE</w:t>
            </w:r>
          </w:p>
        </w:tc>
      </w:tr>
      <w:tr>
        <w:tc>
          <w:tcPr>
            <w:tcW w:type="dxa" w:w="2736"/>
          </w:tcPr>
          <w:p>
            <w:r/>
            <w:r>
              <w:rPr>
                <w:b w:val="0"/>
                <w:sz w:val="19"/>
              </w:rPr>
              <w:t>due_date</w:t>
            </w:r>
          </w:p>
        </w:tc>
        <w:tc>
          <w:tcPr>
            <w:tcW w:type="dxa" w:w="3744"/>
          </w:tcPr>
          <w:p>
            <w:r/>
            <w:r>
              <w:rPr>
                <w:b w:val="0"/>
                <w:sz w:val="19"/>
              </w:rPr>
              <w:t>DATE</w:t>
            </w:r>
          </w:p>
        </w:tc>
        <w:tc>
          <w:tcPr>
            <w:tcW w:type="dxa" w:w="3744"/>
          </w:tcPr>
          <w:p>
            <w:r/>
            <w:r>
              <w:rPr>
                <w:b w:val="0"/>
                <w:sz w:val="19"/>
              </w:rPr>
              <w:t>NOT NULL</w:t>
            </w:r>
          </w:p>
        </w:tc>
      </w:tr>
      <w:tr>
        <w:tc>
          <w:tcPr>
            <w:tcW w:type="dxa" w:w="2736"/>
          </w:tcPr>
          <w:p>
            <w:r/>
            <w:r>
              <w:rPr>
                <w:b w:val="0"/>
                <w:sz w:val="19"/>
              </w:rPr>
              <w:t>status</w:t>
            </w:r>
          </w:p>
        </w:tc>
        <w:tc>
          <w:tcPr>
            <w:tcW w:type="dxa" w:w="3744"/>
          </w:tcPr>
          <w:p>
            <w:r/>
            <w:r>
              <w:rPr>
                <w:b w:val="0"/>
                <w:sz w:val="19"/>
              </w:rPr>
              <w:t>ENUM('PENDING','PARTIAL','PAID','OVERDUE')</w:t>
            </w:r>
          </w:p>
        </w:tc>
        <w:tc>
          <w:tcPr>
            <w:tcW w:type="dxa" w:w="3744"/>
          </w:tcPr>
          <w:p>
            <w:r/>
            <w:r>
              <w:rPr>
                <w:b w:val="0"/>
                <w:sz w:val="19"/>
              </w:rPr>
              <w:t>NOT NULL, DEFAULT 'PENDING'</w:t>
            </w:r>
          </w:p>
        </w:tc>
      </w:tr>
    </w:tbl>
    <w:p/>
    <w:p>
      <w:r>
        <w:rPr>
          <w:b/>
          <w:color w:val="1E632E"/>
          <w:sz w:val="21"/>
        </w:rPr>
        <w:t xml:space="preserve">Answer: </w:t>
      </w:r>
      <w:r>
        <w:rPr>
          <w:color w:val="1E632E"/>
          <w:sz w:val="21"/>
        </w:rPr>
        <w:t>Supporting attributes captured in the data dictionary but not shown above: amount_due DECIMAL(12,2) NOT NULL CHECK (&gt; 0), amount_paid DECIMAL(12,2) NOT NULL DEFAULT 0, and paid_at DATETIME NULL (set when status becomes PAID).</w:t>
      </w:r>
    </w:p>
    <w:p>
      <w:r>
        <w:rPr>
          <w:b w:val="0"/>
          <w:i w:val="0"/>
          <w:sz w:val="21"/>
        </w:rPr>
        <w:t>34. Write the cardinality and participation statement, in the sentence form used in this module, between your new entity from Item 33 and the existing Member entity.</w:t>
      </w:r>
    </w:p>
    <w:p>
      <w:r>
        <w:rPr>
          <w:b/>
          <w:color w:val="1E632E"/>
          <w:sz w:val="21"/>
        </w:rPr>
        <w:t xml:space="preserve">Answer: </w:t>
      </w:r>
      <w:r>
        <w:rPr>
          <w:color w:val="1E632E"/>
          <w:sz w:val="21"/>
        </w:rPr>
        <w:t>A Member may have zero or many Repayments, and a Repayment must belong to exactly one Member (through the Loan it settles).</w:t>
      </w:r>
    </w:p>
    <w:p>
      <w:r>
        <w:rPr>
          <w:b w:val="0"/>
          <w:i w:val="0"/>
          <w:sz w:val="21"/>
        </w:rPr>
        <w:t>35. Which architectural revision from the worked model would most directly resolve Recommendation 2? Explain your answer in two to three sentences.</w:t>
      </w:r>
    </w:p>
    <w:p>
      <w:r>
        <w:rPr>
          <w:b/>
          <w:color w:val="1E632E"/>
          <w:sz w:val="21"/>
        </w:rPr>
        <w:t xml:space="preserve">Answer: </w:t>
      </w:r>
      <w:r>
        <w:rPr>
          <w:color w:val="1E632E"/>
          <w:sz w:val="21"/>
        </w:rPr>
        <w:t>The same revision the barangay team made: change from a purely online client-server model to a layered architecture with a local, offline-capable client that queues records locally and synchronizes with the central server when connectivity returns. Encoding a loan application is the function that cannot tolerate a dropped connection, so the officer's device must be able to save the application locally and reconcile it with the server later. This matches the worked model's offline patient-visit recording almost one-for-one.</w:t>
      </w:r>
    </w:p>
    <w:p>
      <w:r>
        <w:rPr>
          <w:b w:val="0"/>
          <w:i w:val="0"/>
          <w:sz w:val="21"/>
        </w:rPr>
        <w:t>36. Describe, step by step, the component sequence (client, then which components, in what order) that results from your answer to Item 35.</w:t>
      </w:r>
    </w:p>
    <w:p>
      <w:pPr>
        <w:pStyle w:val="ListBullet"/>
      </w:pPr>
      <w:r>
        <w:rPr>
          <w:b/>
          <w:color w:val="1E632E"/>
          <w:sz w:val="21"/>
        </w:rPr>
        <w:t xml:space="preserve">1. Client: </w:t>
      </w:r>
      <w:r>
        <w:rPr>
          <w:color w:val="1E632E"/>
          <w:sz w:val="21"/>
        </w:rPr>
        <w:t>the loan officer fills in the application; the offline-capable client writes it to local storage and marks it “unsynced.”</w:t>
      </w:r>
    </w:p>
    <w:p>
      <w:pPr>
        <w:pStyle w:val="ListBullet"/>
      </w:pPr>
      <w:r>
        <w:rPr>
          <w:b/>
          <w:color w:val="1E632E"/>
          <w:sz w:val="21"/>
        </w:rPr>
        <w:t xml:space="preserve">2. Local storage queue (on the device): </w:t>
      </w:r>
      <w:r>
        <w:rPr>
          <w:color w:val="1E632E"/>
          <w:sz w:val="21"/>
        </w:rPr>
        <w:t>holds the queued application while there is no connection.</w:t>
      </w:r>
    </w:p>
    <w:p>
      <w:pPr>
        <w:pStyle w:val="ListBullet"/>
      </w:pPr>
      <w:r>
        <w:rPr>
          <w:b/>
          <w:color w:val="1E632E"/>
          <w:sz w:val="21"/>
        </w:rPr>
        <w:t xml:space="preserve">3. Sync agent on the client: </w:t>
      </w:r>
      <w:r>
        <w:rPr>
          <w:color w:val="1E632E"/>
          <w:sz w:val="21"/>
        </w:rPr>
        <w:t>detects that connectivity has returned and pushes each unsynced record.</w:t>
      </w:r>
    </w:p>
    <w:p>
      <w:pPr>
        <w:pStyle w:val="ListBullet"/>
      </w:pPr>
      <w:r>
        <w:rPr>
          <w:b/>
          <w:color w:val="1E632E"/>
          <w:sz w:val="21"/>
        </w:rPr>
        <w:t xml:space="preserve">4. Central API / application server: </w:t>
      </w:r>
      <w:r>
        <w:rPr>
          <w:color w:val="1E632E"/>
          <w:sz w:val="21"/>
        </w:rPr>
        <w:t>receives the queued application, authenticates the officer, and validates the payload.</w:t>
      </w:r>
    </w:p>
    <w:p>
      <w:pPr>
        <w:pStyle w:val="ListBullet"/>
      </w:pPr>
      <w:r>
        <w:rPr>
          <w:b/>
          <w:color w:val="1E632E"/>
          <w:sz w:val="21"/>
        </w:rPr>
        <w:t xml:space="preserve">5. Central database: </w:t>
      </w:r>
      <w:r>
        <w:rPr>
          <w:color w:val="1E632E"/>
          <w:sz w:val="21"/>
        </w:rPr>
        <w:t>persists the loan application row.</w:t>
      </w:r>
    </w:p>
    <w:p>
      <w:pPr>
        <w:pStyle w:val="ListBullet"/>
      </w:pPr>
      <w:r>
        <w:rPr>
          <w:b/>
          <w:color w:val="1E632E"/>
          <w:sz w:val="21"/>
        </w:rPr>
        <w:t xml:space="preserve">6. Acknowledgement back to the client: </w:t>
      </w:r>
      <w:r>
        <w:rPr>
          <w:color w:val="1E632E"/>
          <w:sz w:val="21"/>
        </w:rPr>
        <w:t>the server returns an acknowledgement and the client marks the record “synced.”</w:t>
      </w:r>
    </w:p>
    <w:p>
      <w:r>
        <w:rPr>
          <w:b w:val="0"/>
          <w:i w:val="0"/>
          <w:sz w:val="21"/>
        </w:rPr>
        <w:t>37. Propose a UI/UX refinement that resolves Recommendation 3, and name the specific usability heuristic it satisfies.</w:t>
      </w:r>
    </w:p>
    <w:p>
      <w:r>
        <w:rPr>
          <w:b/>
          <w:color w:val="1E632E"/>
          <w:sz w:val="21"/>
        </w:rPr>
        <w:t xml:space="preserve">Answer: </w:t>
      </w:r>
      <w:r>
        <w:rPr>
          <w:color w:val="1E632E"/>
          <w:sz w:val="21"/>
        </w:rPr>
        <w:t>Add a member summary panel that appears before a new loan can be encoded, listing every active loan for that member with its outstanding balance and next due date, and showing a warning badge when total exposure exceeds the cooperative's policy limit. Heuristic: visibility of system status (supported by recognition rather than recall and error prevention), because the officer sees the member's full standing at the point of decision instead of having to remember or look it up.</w:t>
      </w:r>
    </w:p>
    <w:p>
      <w:r>
        <w:rPr>
          <w:b w:val="0"/>
          <w:i w:val="0"/>
          <w:sz w:val="21"/>
        </w:rPr>
        <w:t>38. State one normalization check (1NF, 2NF, or 3NF) that the new entity from Item 33 should be tested against, and explain in one sentence what that check would verify for this entity.</w:t>
      </w:r>
    </w:p>
    <w:p>
      <w:r>
        <w:rPr>
          <w:b/>
          <w:color w:val="1E632E"/>
          <w:sz w:val="21"/>
        </w:rPr>
        <w:t xml:space="preserve">Answer: </w:t>
      </w:r>
      <w:r>
        <w:rPr>
          <w:color w:val="1E632E"/>
          <w:sz w:val="21"/>
        </w:rPr>
        <w:t>Third Normal Form (3NF): it verifies that no non-key attribute depends on another non-key attribute — for example, member name or loan interest rate must not be copied into Repayment (they belong on Member and Loan), and status/paid_at must depend only on this repayment row's own key.</w:t>
      </w:r>
    </w:p>
    <w:p>
      <w:r>
        <w:rPr>
          <w:b w:val="0"/>
          <w:i w:val="0"/>
          <w:sz w:val="21"/>
        </w:rPr>
        <w:t>39. List the primary key and at least two foreign keys for one entity in your own system's finalized ERD.</w:t>
      </w:r>
    </w:p>
    <w:p>
      <w:r>
        <w:rPr>
          <w:b/>
          <w:i w:val="0"/>
          <w:color w:val="1E632E"/>
          <w:sz w:val="21"/>
        </w:rPr>
        <w:t>Entity (Katuwang): TopicRequest — a learner-posted “I need help with X” ticket.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2160"/>
            <w:shd w:val="clear" w:color="auto" w:fill="DEEAF6"/>
          </w:tcPr>
          <w:p>
            <w:r/>
            <w:r>
              <w:rPr>
                <w:b/>
                <w:color w:val="1F3B64"/>
                <w:sz w:val="19"/>
              </w:rPr>
              <w:t>Key Type</w:t>
            </w:r>
          </w:p>
        </w:tc>
        <w:tc>
          <w:tcPr>
            <w:tcW w:type="dxa" w:w="2736"/>
            <w:shd w:val="clear" w:color="auto" w:fill="DEEAF6"/>
          </w:tcPr>
          <w:p>
            <w:r/>
            <w:r>
              <w:rPr>
                <w:b/>
                <w:color w:val="1F3B64"/>
                <w:sz w:val="19"/>
              </w:rPr>
              <w:t>Field Name</w:t>
            </w:r>
          </w:p>
        </w:tc>
        <w:tc>
          <w:tcPr>
            <w:tcW w:type="dxa" w:w="5328"/>
            <w:shd w:val="clear" w:color="auto" w:fill="DEEAF6"/>
          </w:tcPr>
          <w:p>
            <w:r/>
            <w:r>
              <w:rPr>
                <w:b/>
                <w:color w:val="1F3B64"/>
                <w:sz w:val="19"/>
              </w:rPr>
              <w:t>References</w:t>
            </w:r>
          </w:p>
        </w:tc>
      </w:tr>
      <w:tr>
        <w:tc>
          <w:tcPr>
            <w:tcW w:type="dxa" w:w="2160"/>
          </w:tcPr>
          <w:p>
            <w:r/>
            <w:r>
              <w:rPr>
                <w:b w:val="0"/>
                <w:sz w:val="19"/>
              </w:rPr>
              <w:t>Primary key</w:t>
            </w:r>
          </w:p>
        </w:tc>
        <w:tc>
          <w:tcPr>
            <w:tcW w:type="dxa" w:w="2736"/>
          </w:tcPr>
          <w:p>
            <w:r/>
            <w:r>
              <w:rPr>
                <w:b w:val="0"/>
                <w:sz w:val="19"/>
              </w:rPr>
              <w:t>id (cuid)</w:t>
            </w:r>
          </w:p>
        </w:tc>
        <w:tc>
          <w:tcPr>
            <w:tcW w:type="dxa" w:w="5328"/>
          </w:tcPr>
          <w:p>
            <w:r/>
            <w:r>
              <w:rPr>
                <w:b w:val="0"/>
                <w:sz w:val="19"/>
              </w:rPr>
              <w:t>—</w:t>
            </w:r>
          </w:p>
        </w:tc>
      </w:tr>
      <w:tr>
        <w:tc>
          <w:tcPr>
            <w:tcW w:type="dxa" w:w="2160"/>
          </w:tcPr>
          <w:p>
            <w:r/>
            <w:r>
              <w:rPr>
                <w:b w:val="0"/>
                <w:sz w:val="19"/>
              </w:rPr>
              <w:t>Foreign key</w:t>
            </w:r>
          </w:p>
        </w:tc>
        <w:tc>
          <w:tcPr>
            <w:tcW w:type="dxa" w:w="2736"/>
          </w:tcPr>
          <w:p>
            <w:r/>
            <w:r>
              <w:rPr>
                <w:b w:val="0"/>
                <w:sz w:val="19"/>
              </w:rPr>
              <w:t>learnerId</w:t>
            </w:r>
          </w:p>
        </w:tc>
        <w:tc>
          <w:tcPr>
            <w:tcW w:type="dxa" w:w="5328"/>
          </w:tcPr>
          <w:p>
            <w:r/>
            <w:r>
              <w:rPr>
                <w:b w:val="0"/>
                <w:sz w:val="19"/>
              </w:rPr>
              <w:t>users.id — the learner who posted the request (ON DELETE CASCADE)</w:t>
            </w:r>
          </w:p>
        </w:tc>
      </w:tr>
      <w:tr>
        <w:tc>
          <w:tcPr>
            <w:tcW w:type="dxa" w:w="2160"/>
          </w:tcPr>
          <w:p>
            <w:r/>
            <w:r>
              <w:rPr>
                <w:b w:val="0"/>
                <w:sz w:val="19"/>
              </w:rPr>
              <w:t>Foreign key</w:t>
            </w:r>
          </w:p>
        </w:tc>
        <w:tc>
          <w:tcPr>
            <w:tcW w:type="dxa" w:w="2736"/>
          </w:tcPr>
          <w:p>
            <w:r/>
            <w:r>
              <w:rPr>
                <w:b w:val="0"/>
                <w:sz w:val="19"/>
              </w:rPr>
              <w:t>fulfilledClassId</w:t>
            </w:r>
          </w:p>
        </w:tc>
        <w:tc>
          <w:tcPr>
            <w:tcW w:type="dxa" w:w="5328"/>
          </w:tcPr>
          <w:p>
            <w:r/>
            <w:r>
              <w:rPr>
                <w:b w:val="0"/>
                <w:sz w:val="19"/>
              </w:rPr>
              <w:t>tutor_classes.id — nullable; set when a tutor attaches a class (ON DELETE SET NULL)</w:t>
            </w:r>
          </w:p>
        </w:tc>
      </w:tr>
      <w:tr>
        <w:tc>
          <w:tcPr>
            <w:tcW w:type="dxa" w:w="2160"/>
          </w:tcPr>
          <w:p>
            <w:r/>
            <w:r>
              <w:rPr>
                <w:b w:val="0"/>
                <w:sz w:val="19"/>
              </w:rPr>
              <w:t>Foreign key</w:t>
            </w:r>
          </w:p>
        </w:tc>
        <w:tc>
          <w:tcPr>
            <w:tcW w:type="dxa" w:w="2736"/>
          </w:tcPr>
          <w:p>
            <w:r/>
            <w:r>
              <w:rPr>
                <w:b w:val="0"/>
                <w:sz w:val="19"/>
              </w:rPr>
              <w:t>directedTutorProfileId</w:t>
            </w:r>
          </w:p>
        </w:tc>
        <w:tc>
          <w:tcPr>
            <w:tcW w:type="dxa" w:w="5328"/>
          </w:tcPr>
          <w:p>
            <w:r/>
            <w:r>
              <w:rPr>
                <w:b w:val="0"/>
                <w:sz w:val="19"/>
              </w:rPr>
              <w:t>tutor_profiles.id — nullable; set when the request targets one specific tutor (ON DELETE SET NULL)</w:t>
            </w:r>
          </w:p>
        </w:tc>
      </w:tr>
    </w:tbl>
    <w:p/>
    <w:p>
      <w:r>
        <w:rPr>
          <w:b w:val="0"/>
          <w:i w:val="0"/>
          <w:sz w:val="21"/>
        </w:rPr>
        <w:t>40. Identify the architectural pattern your team has finalized for your own system, and list the major components shown in your architecture diagram.</w:t>
      </w:r>
    </w:p>
    <w:p>
      <w:r>
        <w:rPr>
          <w:b/>
          <w:color w:val="1E632E"/>
          <w:sz w:val="21"/>
        </w:rPr>
        <w:t xml:space="preserve">Answer: </w:t>
      </w:r>
      <w:r>
        <w:rPr>
          <w:color w:val="1E632E"/>
          <w:sz w:val="21"/>
        </w:rPr>
        <w:t>Pattern: a layered (n-tier) modular monolith — one deployable Next.js 16 application with clearly separated internal layers.</w:t>
      </w:r>
    </w:p>
    <w:p>
      <w:pPr>
        <w:pStyle w:val="ListBullet"/>
      </w:pPr>
      <w:r>
        <w:rPr>
          <w:b/>
          <w:color w:val="1E632E"/>
          <w:sz w:val="21"/>
        </w:rPr>
        <w:t xml:space="preserve">Presentation: </w:t>
      </w:r>
      <w:r>
        <w:rPr>
          <w:color w:val="1E632E"/>
          <w:sz w:val="21"/>
        </w:rPr>
        <w:t>browser client — React Server Components and Client Components.</w:t>
      </w:r>
    </w:p>
    <w:p>
      <w:pPr>
        <w:pStyle w:val="ListBullet"/>
      </w:pPr>
      <w:r>
        <w:rPr>
          <w:b/>
          <w:color w:val="1E632E"/>
          <w:sz w:val="21"/>
        </w:rPr>
        <w:t xml:space="preserve">Request gate: </w:t>
      </w:r>
      <w:r>
        <w:rPr>
          <w:color w:val="1E632E"/>
          <w:sz w:val="21"/>
        </w:rPr>
        <w:t>edge middleware / route guard (src/proxy.ts) — role-based access control per portal.</w:t>
      </w:r>
    </w:p>
    <w:p>
      <w:pPr>
        <w:pStyle w:val="ListBullet"/>
      </w:pPr>
      <w:r>
        <w:rPr>
          <w:b/>
          <w:color w:val="1E632E"/>
          <w:sz w:val="21"/>
        </w:rPr>
        <w:t xml:space="preserve">Pages: </w:t>
      </w:r>
      <w:r>
        <w:rPr>
          <w:color w:val="1E632E"/>
          <w:sz w:val="21"/>
        </w:rPr>
        <w:t>App Router pages (Server Components) — resolve session and fetch initial data.</w:t>
      </w:r>
    </w:p>
    <w:p>
      <w:pPr>
        <w:pStyle w:val="ListBullet"/>
      </w:pPr>
      <w:r>
        <w:rPr>
          <w:b/>
          <w:color w:val="1E632E"/>
          <w:sz w:val="21"/>
        </w:rPr>
        <w:t xml:space="preserve">API layer: </w:t>
      </w:r>
      <w:r>
        <w:rPr>
          <w:color w:val="1E632E"/>
          <w:sz w:val="21"/>
        </w:rPr>
        <w:t>REST API Route Handlers (src/app/api/**) — auth checks plus Zod request validation.</w:t>
      </w:r>
    </w:p>
    <w:p>
      <w:pPr>
        <w:pStyle w:val="ListBullet"/>
      </w:pPr>
      <w:r>
        <w:rPr>
          <w:b/>
          <w:color w:val="1E632E"/>
          <w:sz w:val="21"/>
        </w:rPr>
        <w:t xml:space="preserve">Domain / service layer: </w:t>
      </w:r>
      <w:r>
        <w:rPr>
          <w:color w:val="1E632E"/>
          <w:sz w:val="21"/>
        </w:rPr>
        <w:t>src/lib/* — the matching engine (matching.ts), the anonymous-ID generator (idGenerator.ts), validation schemas, and transactional mail.</w:t>
      </w:r>
    </w:p>
    <w:p>
      <w:pPr>
        <w:pStyle w:val="ListBullet"/>
      </w:pPr>
      <w:r>
        <w:rPr>
          <w:b/>
          <w:color w:val="1E632E"/>
          <w:sz w:val="21"/>
        </w:rPr>
        <w:t xml:space="preserve">Authentication: </w:t>
      </w:r>
      <w:r>
        <w:rPr>
          <w:color w:val="1E632E"/>
          <w:sz w:val="21"/>
        </w:rPr>
        <w:t>NextAuth (src/lib/auth.ts) — credentials provider with JWT sessions.</w:t>
      </w:r>
    </w:p>
    <w:p>
      <w:pPr>
        <w:pStyle w:val="ListBullet"/>
      </w:pPr>
      <w:r>
        <w:rPr>
          <w:b/>
          <w:color w:val="1E632E"/>
          <w:sz w:val="21"/>
        </w:rPr>
        <w:t xml:space="preserve">Data-access layer: </w:t>
      </w:r>
      <w:r>
        <w:rPr>
          <w:color w:val="1E632E"/>
          <w:sz w:val="21"/>
        </w:rPr>
        <w:t>Prisma ORM singleton (src/lib/prisma.ts) over MariaDB/MySQL.</w:t>
      </w:r>
    </w:p>
    <w:p>
      <w:pPr>
        <w:pStyle w:val="ListBullet"/>
      </w:pPr>
      <w:r>
        <w:rPr>
          <w:b/>
          <w:color w:val="1E632E"/>
          <w:sz w:val="21"/>
        </w:rPr>
        <w:t xml:space="preserve">External integration: </w:t>
      </w:r>
      <w:r>
        <w:rPr>
          <w:color w:val="1E632E"/>
          <w:sz w:val="21"/>
        </w:rPr>
        <w:t>SMTP mail transport, configured entirely from environment variables (password-reset and notification email).</w:t>
      </w:r>
    </w:p>
    <w:p>
      <w:r>
        <w:rPr>
          <w:b w:val="0"/>
          <w:i w:val="0"/>
          <w:sz w:val="21"/>
        </w:rPr>
        <w:t>41. Identify one Level 1 DFD subprocess in your own system, and the data store or stores it reads from or writes to.</w:t>
      </w:r>
    </w:p>
    <w:p>
      <w:r>
        <w:rPr>
          <w:b/>
          <w:color w:val="1E632E"/>
          <w:sz w:val="21"/>
        </w:rPr>
        <w:t xml:space="preserve">Answer: </w:t>
      </w:r>
      <w:r>
        <w:rPr>
          <w:color w:val="1E632E"/>
          <w:sz w:val="21"/>
        </w:rPr>
        <w:t>Subprocess: “Enroll Learner in Class.” It reads the tutor_classes data store (to check capacity, published, and status) and the class_enrollments data store (to count current members and reject a duplicate enrollment), then writes one new row to class_enrollments. A related subprocess, “Match Learner to Classes,” reads tutor_classes, class_topics, class_sessions, and topic_certifications and returns a ranked list without writing anything persistent; if nothing scores well it hands off to “Post Topic Request,” which writes to topic_requests and its child stores topic_request_topics and topic_request_slots.</w:t>
      </w:r>
    </w:p>
    <w:p>
      <w:r>
        <w:rPr>
          <w:b w:val="0"/>
          <w:i w:val="0"/>
          <w:sz w:val="21"/>
        </w:rPr>
        <w:t>42. Identify one screen in your own system's UI/UX mockups that required an error-state or empty-state addition during refinement, and describe that addition.</w:t>
      </w:r>
    </w:p>
    <w:p>
      <w:r>
        <w:rPr>
          <w:b/>
          <w:color w:val="1E632E"/>
          <w:sz w:val="21"/>
        </w:rPr>
        <w:t xml:space="preserve">Answer: </w:t>
      </w:r>
      <w:r>
        <w:rPr>
          <w:color w:val="1E632E"/>
          <w:sz w:val="21"/>
        </w:rPr>
        <w:t>Screen: the learner “Find a Tutor / Matching Results” screen. Refinement added a low/no-match empty state: when every candidate class scores below the match threshold, or no class exists for the chosen subject, the screen now shows a “No strong match yet” message, a one-line explanation, a primary “Post a topic request” button, and a secondary “Browse all classes” link — instead of rendering an empty or misleading list.</w:t>
      </w:r>
    </w:p>
    <w:p>
      <w:r>
        <w:rPr>
          <w:b/>
          <w:color w:val="1F4E79"/>
          <w:sz w:val="24"/>
        </w:rPr>
        <w:t>Part III. Analysis and Essay (Items 43 to 47, 6 points each)</w:t>
      </w:r>
    </w:p>
    <w:p>
      <w:r>
        <w:rPr>
          <w:b w:val="0"/>
          <w:i w:val="0"/>
          <w:sz w:val="21"/>
        </w:rPr>
        <w:t>Answer each item in complete sentences. Suggested lengths are given as a guide, not a strict limit.</w:t>
      </w:r>
    </w:p>
    <w:p>
      <w:r>
        <w:rPr>
          <w:b w:val="0"/>
          <w:i w:val="0"/>
          <w:sz w:val="21"/>
        </w:rPr>
        <w:t>43. A classmate argues that writing a four-part justification is unnecessary busywork as long as the system works when demonstrated. Analyze this argument using the concepts from this module, and explain what risk their position creates at final defense. (Suggested length: 5 to 8 sentences)</w:t>
      </w:r>
    </w:p>
    <w:p>
      <w:r>
        <w:rPr>
          <w:b/>
          <w:color w:val="1E632E"/>
          <w:sz w:val="21"/>
        </w:rPr>
        <w:t xml:space="preserve">Answer: </w:t>
      </w:r>
      <w:r>
        <w:rPr>
          <w:color w:val="1E632E"/>
          <w:sz w:val="21"/>
        </w:rPr>
        <w:t>A working demo only shows the happy path on the demo data; it does not show that the design meets every functional requirement, that sensitive data is actually protected, or that the system would hold up at its intended scale. The four-part justification exists precisely to make those claims explicit and traceable: functionality is tied to numbered requirements, security names concrete mechanisms, scalability states the target load and the choices that support it, and problem alignment shows the build still solves the original problem. Without it, the team cannot prove that a panel recommendation was genuinely resolved rather than merely worked around. At final defense the panel asks “why” questions, not “does it run” questions, so a team that skipped the justification will improvise inconsistent answers under pressure. The likely outcome is findings for revision, a lower rubric score on design justification, or a request to redefend. The risk is highest exactly where it matters most — security and privacy claims that turn out to be unsupported.</w:t>
      </w:r>
    </w:p>
    <w:p>
      <w:r>
        <w:rPr>
          <w:b w:val="0"/>
          <w:i w:val="0"/>
          <w:sz w:val="21"/>
        </w:rPr>
        <w:t>44. Compare and contrast a layered (n-tier) architecture and a modular monolith architecture in terms of when each is the more defensible choice for a capstone-scale system. (Suggested length: 5 to 8 sentences)</w:t>
      </w:r>
    </w:p>
    <w:p>
      <w:r>
        <w:rPr>
          <w:b/>
          <w:color w:val="1E632E"/>
          <w:sz w:val="21"/>
        </w:rPr>
        <w:t xml:space="preserve">Answer: </w:t>
      </w:r>
      <w:r>
        <w:rPr>
          <w:color w:val="1E632E"/>
          <w:sz w:val="21"/>
        </w:rPr>
        <w:t>Both keep the system in a single deployable unit, which suits a small team, and both are far easier to defend than microservices at capstone scale. A layered (n-tier) design organizes the code horizontally — presentation, business logic, data — and is the more defensible choice when the system is essentially one cohesive application with a straightforward request/response flow, because the panel can trace any feature top to bottom through the layers. A modular monolith adds a vertical split into feature modules on top of that layering, and becomes the more defensible choice when the system has several loosely related functional areas that evolve independently, since it contains change and clarifies ownership without the operational cost of separate services. The trade-off is that a modular monolith needs disciplined module boundaries to avoid becoming a tangled monolith, which is extra design work to justify. For most capstone systems the honest answer is a layered monolith, with modular boundaries introduced only where a real cluster of features justifies them. The deciding question is whether the system has one problem domain or several.</w:t>
      </w:r>
    </w:p>
    <w:p>
      <w:r>
        <w:rPr>
          <w:b w:val="0"/>
          <w:i w:val="0"/>
          <w:sz w:val="21"/>
        </w:rPr>
        <w:t>45. Analyze the relationship between the Design Review Checklist and the traceability practice discussed in this module. Why would a design reviewer specifically check that DFD data stores map to ERD entities, and that ERD entities map back to the panel's original recommendations? (Suggested length: 5 to 8 sentences)</w:t>
      </w:r>
    </w:p>
    <w:p>
      <w:r>
        <w:rPr>
          <w:b/>
          <w:color w:val="1E632E"/>
          <w:sz w:val="21"/>
        </w:rPr>
        <w:t xml:space="preserve">Answer: </w:t>
      </w:r>
      <w:r>
        <w:rPr>
          <w:color w:val="1E632E"/>
          <w:sz w:val="21"/>
        </w:rPr>
        <w:t>Traceability means every artifact can be followed forward and backward: a panel recommendation leads to a schema or architecture change, that change appears as an ERD entity, and that entity appears as a DFD data store and an architecture component. The Design Review Checklist is the tool that enforces this chain link by link. Checking that every DFD data store maps to an ERD entity catches diagrams that have drifted apart — a data store with no entity means the schema is incomplete, and an entity with no data store means a process is missing. Checking that ERD entities map back to panel recommendations catches two failure modes: a recommendation that was acknowledged but never actually implemented, and scope creep where the team added entities that solve no stated problem. Together these checks turn “we addressed the panel's feedback” from a claim into something a reviewer can verify in minutes. This is also what lets the final defense move quickly, because each change has a visible paper trail.</w:t>
      </w:r>
    </w:p>
    <w:p>
      <w:r>
        <w:rPr>
          <w:b w:val="0"/>
          <w:i w:val="0"/>
          <w:sz w:val="21"/>
        </w:rPr>
        <w:t>46. Write a complete four-part justification (functionality, security, scalability, and problem alignment) for the single most significant design change your team made to your system after your Capstone 1 defense. (Suggested length: one short paragraph per dimension)</w:t>
      </w:r>
    </w:p>
    <w:p>
      <w:r>
        <w:rPr>
          <w:b/>
          <w:color w:val="1E632E"/>
          <w:sz w:val="21"/>
        </w:rPr>
        <w:t xml:space="preserve">Answer: </w:t>
      </w:r>
      <w:r>
        <w:rPr>
          <w:color w:val="1E632E"/>
          <w:sz w:val="21"/>
        </w:rPr>
        <w:t>Change (Katuwang): adding an assessment-gated, per-topic tutor certification system — the TopicCertification entity plus the qualifying assessment that promotes a row to CERTIFIED.</w:t>
      </w:r>
    </w:p>
    <w:p>
      <w:pPr>
        <w:pStyle w:val="ListBullet"/>
      </w:pPr>
      <w:r>
        <w:rPr>
          <w:b/>
          <w:color w:val="1E632E"/>
          <w:sz w:val="21"/>
        </w:rPr>
        <w:t xml:space="preserve">Functionality: </w:t>
      </w:r>
      <w:r>
        <w:rPr>
          <w:color w:val="1E632E"/>
          <w:sz w:val="21"/>
        </w:rPr>
        <w:t>the proposal only recorded that a user was a tutor. The refined design records what each tutor is approved to teach, at the (subject, topic) level, with an explicit lifecycle (PENDING → CERTIFIED or REJECTED). This directly satisfies the requirement that only qualified peers teach a topic: a tutor cannot open a class for a topic unless a matching CERTIFIED row exists, and the class-creation flow enforces that check. The admin review queue, the reviewNote feedback field, and the reviewedAt/certifiedAt timestamps complete the workflow the panel asked for.</w:t>
      </w:r>
    </w:p>
    <w:p>
      <w:pPr>
        <w:pStyle w:val="ListBullet"/>
      </w:pPr>
      <w:r>
        <w:rPr>
          <w:b/>
          <w:color w:val="1E632E"/>
          <w:sz w:val="21"/>
        </w:rPr>
        <w:t xml:space="preserve">Security: </w:t>
      </w:r>
      <w:r>
        <w:rPr>
          <w:color w:val="1E632E"/>
          <w:sz w:val="21"/>
        </w:rPr>
        <w:t>certification state is server-authoritative and only an ADMIN can move a row to CERTIFIED or REJECTED; the qualifying assessment is scored on the server from an admin-authored question bank, so a tutor cannot self-certify. The unique constraint on (tutorProfileId, subject, topic) prevents a tutor from stacking duplicate pending requests, and every moderation action is written to the audit log.</w:t>
      </w:r>
    </w:p>
    <w:p>
      <w:pPr>
        <w:pStyle w:val="ListBullet"/>
      </w:pPr>
      <w:r>
        <w:rPr>
          <w:b/>
          <w:color w:val="1E632E"/>
          <w:sz w:val="21"/>
        </w:rPr>
        <w:t xml:space="preserve">Scalability: </w:t>
      </w:r>
      <w:r>
        <w:rPr>
          <w:color w:val="1E632E"/>
          <w:sz w:val="21"/>
        </w:rPr>
        <w:t>each certification is one narrow row keyed by (tutorProfileId, subject, topic) and indexed by that unique key, so eligibility checks during class creation and matching are O(1) lookups. The question bank and attempts grow linearly with tutor activity and stay well within a single MariaDB instance for the TRIS population.</w:t>
      </w:r>
    </w:p>
    <w:p>
      <w:pPr>
        <w:pStyle w:val="ListBullet"/>
      </w:pPr>
      <w:r>
        <w:rPr>
          <w:b/>
          <w:color w:val="1E632E"/>
          <w:sz w:val="21"/>
        </w:rPr>
        <w:t xml:space="preserve">Problem alignment: </w:t>
      </w:r>
      <w:r>
        <w:rPr>
          <w:color w:val="1E632E"/>
          <w:sz w:val="21"/>
        </w:rPr>
        <w:t>the original problem is that peer tutoring at TRIS was ad hoc and unverified. Gating teaching on a passed, per-topic assessment is the mechanism that makes tutoring “organized, tracked, and moderated instead of ad hoc,” which is the core purpose of the platform — not an unrelated feature.</w:t>
      </w:r>
    </w:p>
    <w:p>
      <w:r>
        <w:rPr>
          <w:b w:val="0"/>
          <w:i w:val="0"/>
          <w:sz w:val="21"/>
        </w:rPr>
        <w:t>47. Reflecting on this module as a whole, identify the one artifact (architecture, schema, DFD, or UI/UX) that required the most revision in your own project, and explain, with specific reference to at least one panel recommendation, why that artifact needed the most work. (Suggested length: 8 to 10 sentences)</w:t>
      </w:r>
    </w:p>
    <w:p>
      <w:r>
        <w:rPr>
          <w:b/>
          <w:color w:val="1E632E"/>
          <w:sz w:val="21"/>
        </w:rPr>
        <w:t xml:space="preserve">Answer: </w:t>
      </w:r>
      <w:r>
        <w:rPr>
          <w:color w:val="1E632E"/>
          <w:sz w:val="21"/>
        </w:rPr>
        <w:t>For Katuwang, the database schema (ERD) required by far the most revision. The proposal-stage model treated “tutor” as a flag on the user record and never modeled the tutoring lifecycle around it, so several entities implied by our narrative were simply missing. The panel's recommendation that we “model the tutor certification lifecycle explicitly” forced the largest single change: a new TopicCertification entity with a status enum and review/timestamp audit fields, a unique key on (tutorProfileId, subject, topic), and defined cascade rules on its foreign key to TutorProfile. Resolving it pulled in related gaps, because a certification only makes sense alongside an assessment attempt, a question bank, and per-topic assessment configuration, so those entities were added and normalized to 3NF at the same time. A second recommendation — that our design must show how RA 10173 double-blind anonymity is actually enforced — changed the schema again: we added the IdCounter entity and the rule that peer-facing queries select only id and anonymousId. The architecture diagram and the DFD did change, but mostly to stay consistent with the schema rather than on their own. The UI/UX needed refinement (empty states, confirmation dialogs) but no structural rework. In short, the schema absorbed the most work because the two heaviest panel recommendations — certification tracking and privacy enforcement — were both fundamentally data-model problems.</w:t>
      </w:r>
    </w:p>
    <w:p>
      <w:pPr>
        <w:pBdr>
          <w:bottom w:val="single" w:sz="6" w:color="1F4E79" w:space="2"/>
        </w:pBdr>
      </w:pPr>
      <w:r>
        <w:rPr>
          <w:b/>
          <w:color w:val="1F4E79"/>
          <w:sz w:val="30"/>
        </w:rPr>
        <w:t>Answer Sheet, Part I</w:t>
      </w:r>
    </w:p>
    <w:p>
      <w:r>
        <w:rPr>
          <w:b w:val="0"/>
          <w:i w:val="0"/>
          <w:sz w:val="21"/>
        </w:rPr>
        <w:t>Use this sheet to record your final answers for Items 18 to 32. This does not replace your written work above; it is provided so your instructor can check Part I quickly.</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1296"/>
            <w:shd w:val="clear" w:color="auto" w:fill="1F3864"/>
          </w:tcPr>
          <w:p>
            <w:r/>
            <w:r>
              <w:rPr>
                <w:b/>
                <w:color w:val="FFFFFF"/>
                <w:sz w:val="19"/>
              </w:rPr>
              <w:t>Item No.</w:t>
            </w:r>
          </w:p>
        </w:tc>
        <w:tc>
          <w:tcPr>
            <w:tcW w:type="dxa" w:w="3456"/>
            <w:shd w:val="clear" w:color="auto" w:fill="1F3864"/>
          </w:tcPr>
          <w:p>
            <w:r/>
            <w:r>
              <w:rPr>
                <w:b/>
                <w:color w:val="FFFFFF"/>
                <w:sz w:val="19"/>
              </w:rPr>
              <w:t>Answer</w:t>
            </w:r>
          </w:p>
        </w:tc>
        <w:tc>
          <w:tcPr>
            <w:tcW w:type="dxa" w:w="1296"/>
            <w:shd w:val="clear" w:color="auto" w:fill="1F3864"/>
          </w:tcPr>
          <w:p>
            <w:r/>
            <w:r>
              <w:rPr>
                <w:b/>
                <w:color w:val="FFFFFF"/>
                <w:sz w:val="19"/>
              </w:rPr>
              <w:t>Item No.</w:t>
            </w:r>
          </w:p>
        </w:tc>
        <w:tc>
          <w:tcPr>
            <w:tcW w:type="dxa" w:w="3456"/>
            <w:shd w:val="clear" w:color="auto" w:fill="1F3864"/>
          </w:tcPr>
          <w:p>
            <w:r/>
            <w:r>
              <w:rPr>
                <w:b/>
                <w:color w:val="FFFFFF"/>
                <w:sz w:val="19"/>
              </w:rPr>
              <w:t>Answer</w:t>
            </w:r>
          </w:p>
        </w:tc>
      </w:tr>
      <w:tr>
        <w:tc>
          <w:tcPr>
            <w:tcW w:type="dxa" w:w="1296"/>
          </w:tcPr>
          <w:p>
            <w:r/>
            <w:r>
              <w:rPr>
                <w:b w:val="0"/>
                <w:sz w:val="19"/>
              </w:rPr>
              <w:t>18</w:t>
            </w:r>
          </w:p>
        </w:tc>
        <w:tc>
          <w:tcPr>
            <w:tcW w:type="dxa" w:w="3456"/>
          </w:tcPr>
          <w:p>
            <w:r/>
            <w:r>
              <w:rPr>
                <w:b w:val="0"/>
                <w:sz w:val="19"/>
              </w:rPr>
              <w:t>B</w:t>
            </w:r>
          </w:p>
        </w:tc>
        <w:tc>
          <w:tcPr>
            <w:tcW w:type="dxa" w:w="1296"/>
          </w:tcPr>
          <w:p>
            <w:r/>
            <w:r>
              <w:rPr>
                <w:b w:val="0"/>
                <w:sz w:val="19"/>
              </w:rPr>
              <w:t>26</w:t>
            </w:r>
          </w:p>
        </w:tc>
        <w:tc>
          <w:tcPr>
            <w:tcW w:type="dxa" w:w="3456"/>
          </w:tcPr>
          <w:p>
            <w:r/>
            <w:r>
              <w:rPr>
                <w:b w:val="0"/>
                <w:sz w:val="19"/>
              </w:rPr>
              <w:t>B</w:t>
            </w:r>
          </w:p>
        </w:tc>
      </w:tr>
      <w:tr>
        <w:tc>
          <w:tcPr>
            <w:tcW w:type="dxa" w:w="1296"/>
          </w:tcPr>
          <w:p>
            <w:r/>
            <w:r>
              <w:rPr>
                <w:b w:val="0"/>
                <w:sz w:val="19"/>
              </w:rPr>
              <w:t>19</w:t>
            </w:r>
          </w:p>
        </w:tc>
        <w:tc>
          <w:tcPr>
            <w:tcW w:type="dxa" w:w="3456"/>
          </w:tcPr>
          <w:p>
            <w:r/>
            <w:r>
              <w:rPr>
                <w:b w:val="0"/>
                <w:sz w:val="19"/>
              </w:rPr>
              <w:t>B</w:t>
            </w:r>
          </w:p>
        </w:tc>
        <w:tc>
          <w:tcPr>
            <w:tcW w:type="dxa" w:w="1296"/>
          </w:tcPr>
          <w:p>
            <w:r/>
            <w:r>
              <w:rPr>
                <w:b w:val="0"/>
                <w:sz w:val="19"/>
              </w:rPr>
              <w:t>27</w:t>
            </w:r>
          </w:p>
        </w:tc>
        <w:tc>
          <w:tcPr>
            <w:tcW w:type="dxa" w:w="3456"/>
          </w:tcPr>
          <w:p>
            <w:r/>
            <w:r>
              <w:rPr>
                <w:b w:val="0"/>
                <w:sz w:val="19"/>
              </w:rPr>
              <w:t>B</w:t>
            </w:r>
          </w:p>
        </w:tc>
      </w:tr>
      <w:tr>
        <w:tc>
          <w:tcPr>
            <w:tcW w:type="dxa" w:w="1296"/>
          </w:tcPr>
          <w:p>
            <w:r/>
            <w:r>
              <w:rPr>
                <w:b w:val="0"/>
                <w:sz w:val="19"/>
              </w:rPr>
              <w:t>20</w:t>
            </w:r>
          </w:p>
        </w:tc>
        <w:tc>
          <w:tcPr>
            <w:tcW w:type="dxa" w:w="3456"/>
          </w:tcPr>
          <w:p>
            <w:r/>
            <w:r>
              <w:rPr>
                <w:b w:val="0"/>
                <w:sz w:val="19"/>
              </w:rPr>
              <w:t>C</w:t>
            </w:r>
          </w:p>
        </w:tc>
        <w:tc>
          <w:tcPr>
            <w:tcW w:type="dxa" w:w="1296"/>
          </w:tcPr>
          <w:p>
            <w:r/>
            <w:r>
              <w:rPr>
                <w:b w:val="0"/>
                <w:sz w:val="19"/>
              </w:rPr>
              <w:t>28</w:t>
            </w:r>
          </w:p>
        </w:tc>
        <w:tc>
          <w:tcPr>
            <w:tcW w:type="dxa" w:w="3456"/>
          </w:tcPr>
          <w:p>
            <w:r/>
            <w:r>
              <w:rPr>
                <w:b w:val="0"/>
                <w:sz w:val="19"/>
              </w:rPr>
              <w:t>Diagram-as-code ERD tool (e.g. Mermaid)</w:t>
            </w:r>
          </w:p>
        </w:tc>
      </w:tr>
      <w:tr>
        <w:tc>
          <w:tcPr>
            <w:tcW w:type="dxa" w:w="1296"/>
          </w:tcPr>
          <w:p>
            <w:r/>
            <w:r>
              <w:rPr>
                <w:b w:val="0"/>
                <w:sz w:val="19"/>
              </w:rPr>
              <w:t>21</w:t>
            </w:r>
          </w:p>
        </w:tc>
        <w:tc>
          <w:tcPr>
            <w:tcW w:type="dxa" w:w="3456"/>
          </w:tcPr>
          <w:p>
            <w:r/>
            <w:r>
              <w:rPr>
                <w:b w:val="0"/>
                <w:sz w:val="19"/>
              </w:rPr>
              <w:t>B</w:t>
            </w:r>
          </w:p>
        </w:tc>
        <w:tc>
          <w:tcPr>
            <w:tcW w:type="dxa" w:w="1296"/>
          </w:tcPr>
          <w:p>
            <w:r/>
            <w:r>
              <w:rPr>
                <w:b w:val="0"/>
                <w:sz w:val="19"/>
              </w:rPr>
              <w:t>29</w:t>
            </w:r>
          </w:p>
        </w:tc>
        <w:tc>
          <w:tcPr>
            <w:tcW w:type="dxa" w:w="3456"/>
          </w:tcPr>
          <w:p>
            <w:r/>
            <w:r>
              <w:rPr>
                <w:b w:val="0"/>
                <w:sz w:val="19"/>
              </w:rPr>
              <w:t>Modular monolith</w:t>
            </w:r>
          </w:p>
        </w:tc>
      </w:tr>
      <w:tr>
        <w:tc>
          <w:tcPr>
            <w:tcW w:type="dxa" w:w="1296"/>
          </w:tcPr>
          <w:p>
            <w:r/>
            <w:r>
              <w:rPr>
                <w:b w:val="0"/>
                <w:sz w:val="19"/>
              </w:rPr>
              <w:t>22</w:t>
            </w:r>
          </w:p>
        </w:tc>
        <w:tc>
          <w:tcPr>
            <w:tcW w:type="dxa" w:w="3456"/>
          </w:tcPr>
          <w:p>
            <w:r/>
            <w:r>
              <w:rPr>
                <w:b w:val="0"/>
                <w:sz w:val="19"/>
              </w:rPr>
              <w:t>C</w:t>
            </w:r>
          </w:p>
        </w:tc>
        <w:tc>
          <w:tcPr>
            <w:tcW w:type="dxa" w:w="1296"/>
          </w:tcPr>
          <w:p>
            <w:r/>
            <w:r>
              <w:rPr>
                <w:b w:val="0"/>
                <w:sz w:val="19"/>
              </w:rPr>
              <w:t>30</w:t>
            </w:r>
          </w:p>
        </w:tc>
        <w:tc>
          <w:tcPr>
            <w:tcW w:type="dxa" w:w="3456"/>
          </w:tcPr>
          <w:p>
            <w:r/>
            <w:r>
              <w:rPr>
                <w:b w:val="0"/>
                <w:sz w:val="19"/>
              </w:rPr>
              <w:t>Foreign key</w:t>
            </w:r>
          </w:p>
        </w:tc>
      </w:tr>
      <w:tr>
        <w:tc>
          <w:tcPr>
            <w:tcW w:type="dxa" w:w="1296"/>
          </w:tcPr>
          <w:p>
            <w:r/>
            <w:r>
              <w:rPr>
                <w:b w:val="0"/>
                <w:sz w:val="19"/>
              </w:rPr>
              <w:t>23</w:t>
            </w:r>
          </w:p>
        </w:tc>
        <w:tc>
          <w:tcPr>
            <w:tcW w:type="dxa" w:w="3456"/>
          </w:tcPr>
          <w:p>
            <w:r/>
            <w:r>
              <w:rPr>
                <w:b w:val="0"/>
                <w:sz w:val="19"/>
              </w:rPr>
              <w:t>B</w:t>
            </w:r>
          </w:p>
        </w:tc>
        <w:tc>
          <w:tcPr>
            <w:tcW w:type="dxa" w:w="1296"/>
          </w:tcPr>
          <w:p>
            <w:r/>
            <w:r>
              <w:rPr>
                <w:b w:val="0"/>
                <w:sz w:val="19"/>
              </w:rPr>
              <w:t>31</w:t>
            </w:r>
          </w:p>
        </w:tc>
        <w:tc>
          <w:tcPr>
            <w:tcW w:type="dxa" w:w="3456"/>
          </w:tcPr>
          <w:p>
            <w:r/>
            <w:r>
              <w:rPr>
                <w:b w:val="0"/>
                <w:sz w:val="19"/>
              </w:rPr>
              <w:t>High-fidelity refinement stage</w:t>
            </w:r>
          </w:p>
        </w:tc>
      </w:tr>
      <w:tr>
        <w:tc>
          <w:tcPr>
            <w:tcW w:type="dxa" w:w="1296"/>
          </w:tcPr>
          <w:p>
            <w:r/>
            <w:r>
              <w:rPr>
                <w:b w:val="0"/>
                <w:sz w:val="19"/>
              </w:rPr>
              <w:t>24</w:t>
            </w:r>
          </w:p>
        </w:tc>
        <w:tc>
          <w:tcPr>
            <w:tcW w:type="dxa" w:w="3456"/>
          </w:tcPr>
          <w:p>
            <w:r/>
            <w:r>
              <w:rPr>
                <w:b w:val="0"/>
                <w:sz w:val="19"/>
              </w:rPr>
              <w:t>C</w:t>
            </w:r>
          </w:p>
        </w:tc>
        <w:tc>
          <w:tcPr>
            <w:tcW w:type="dxa" w:w="1296"/>
          </w:tcPr>
          <w:p>
            <w:r/>
            <w:r>
              <w:rPr>
                <w:b w:val="0"/>
                <w:sz w:val="19"/>
              </w:rPr>
              <w:t>32</w:t>
            </w:r>
          </w:p>
        </w:tc>
        <w:tc>
          <w:tcPr>
            <w:tcW w:type="dxa" w:w="3456"/>
          </w:tcPr>
          <w:p>
            <w:r/>
            <w:r>
              <w:rPr>
                <w:b w:val="0"/>
                <w:sz w:val="19"/>
              </w:rPr>
              <w:t>Functionality, Security, Scalability, Problem alignment</w:t>
            </w:r>
          </w:p>
        </w:tc>
      </w:tr>
      <w:tr>
        <w:tc>
          <w:tcPr>
            <w:tcW w:type="dxa" w:w="1296"/>
          </w:tcPr>
          <w:p>
            <w:r/>
            <w:r>
              <w:rPr>
                <w:b w:val="0"/>
                <w:sz w:val="19"/>
              </w:rPr>
              <w:t>25</w:t>
            </w:r>
          </w:p>
        </w:tc>
        <w:tc>
          <w:tcPr>
            <w:tcW w:type="dxa" w:w="3456"/>
          </w:tcPr>
          <w:p>
            <w:r/>
            <w:r>
              <w:rPr>
                <w:b w:val="0"/>
                <w:sz w:val="19"/>
              </w:rPr>
              <w:t>B</w:t>
            </w:r>
          </w:p>
        </w:tc>
        <w:tc>
          <w:tcPr>
            <w:tcW w:type="dxa" w:w="1296"/>
          </w:tcPr>
          <w:p>
            <w:r/>
            <w:r>
              <w:rPr>
                <w:b w:val="0"/>
                <w:sz w:val="19"/>
              </w:rPr>
            </w:r>
          </w:p>
        </w:tc>
        <w:tc>
          <w:tcPr>
            <w:tcW w:type="dxa" w:w="3456"/>
          </w:tcPr>
          <w:p>
            <w:r/>
            <w:r>
              <w:rPr>
                <w:b w:val="0"/>
                <w:sz w:val="19"/>
              </w:rPr>
            </w:r>
          </w:p>
        </w:tc>
      </w:tr>
    </w:tbl>
    <w:p/>
    <w:p>
      <w:pPr>
        <w:pBdr>
          <w:bottom w:val="single" w:sz="6" w:color="1F4E79" w:space="2"/>
        </w:pBdr>
      </w:pPr>
      <w:r>
        <w:rPr>
          <w:b/>
          <w:color w:val="1F4E79"/>
          <w:sz w:val="30"/>
        </w:rPr>
        <w:t>Score Summary (Instructor Use)</w:t>
      </w:r>
    </w:p>
    <w:p>
      <w:r>
        <w:rPr>
          <w:b w:val="0"/>
          <w:i w:val="0"/>
          <w:sz w:val="21"/>
        </w:rPr>
        <w:t>Your instructor will complete this table when checking your Final Assessment.</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340"/>
        <w:gridCol w:w="2340"/>
        <w:gridCol w:w="2340"/>
        <w:gridCol w:w="2340"/>
      </w:tblGrid>
      <w:tr>
        <w:tc>
          <w:tcPr>
            <w:tcW w:type="dxa" w:w="3456"/>
            <w:shd w:val="clear" w:color="auto" w:fill="1F3864"/>
          </w:tcPr>
          <w:p>
            <w:r/>
            <w:r>
              <w:rPr>
                <w:b/>
                <w:color w:val="FFFFFF"/>
                <w:sz w:val="19"/>
              </w:rPr>
              <w:t>Part</w:t>
            </w:r>
          </w:p>
        </w:tc>
        <w:tc>
          <w:tcPr>
            <w:tcW w:type="dxa" w:w="2880"/>
            <w:shd w:val="clear" w:color="auto" w:fill="1F3864"/>
          </w:tcPr>
          <w:p>
            <w:r/>
            <w:r>
              <w:rPr>
                <w:b/>
                <w:color w:val="FFFFFF"/>
                <w:sz w:val="19"/>
              </w:rPr>
              <w:t>Items</w:t>
            </w:r>
          </w:p>
        </w:tc>
        <w:tc>
          <w:tcPr>
            <w:tcW w:type="dxa" w:w="1872"/>
            <w:shd w:val="clear" w:color="auto" w:fill="1F3864"/>
          </w:tcPr>
          <w:p>
            <w:r/>
            <w:r>
              <w:rPr>
                <w:b/>
                <w:color w:val="FFFFFF"/>
                <w:sz w:val="19"/>
              </w:rPr>
              <w:t>Points Possible</w:t>
            </w:r>
          </w:p>
        </w:tc>
        <w:tc>
          <w:tcPr>
            <w:tcW w:type="dxa" w:w="1440"/>
            <w:shd w:val="clear" w:color="auto" w:fill="1F3864"/>
          </w:tcPr>
          <w:p>
            <w:r/>
            <w:r>
              <w:rPr>
                <w:b/>
                <w:color w:val="FFFFFF"/>
                <w:sz w:val="19"/>
              </w:rPr>
              <w:t>Score</w:t>
            </w:r>
          </w:p>
        </w:tc>
      </w:tr>
      <w:tr>
        <w:tc>
          <w:tcPr>
            <w:tcW w:type="dxa" w:w="3456"/>
          </w:tcPr>
          <w:p>
            <w:r/>
            <w:r>
              <w:rPr>
                <w:b w:val="0"/>
                <w:sz w:val="19"/>
              </w:rPr>
              <w:t>Part I, Objective</w:t>
            </w:r>
          </w:p>
        </w:tc>
        <w:tc>
          <w:tcPr>
            <w:tcW w:type="dxa" w:w="2880"/>
          </w:tcPr>
          <w:p>
            <w:r/>
            <w:r>
              <w:rPr>
                <w:b w:val="0"/>
                <w:sz w:val="19"/>
              </w:rPr>
              <w:t>18 to 32 (15 items)</w:t>
            </w:r>
          </w:p>
        </w:tc>
        <w:tc>
          <w:tcPr>
            <w:tcW w:type="dxa" w:w="1872"/>
          </w:tcPr>
          <w:p>
            <w:r/>
            <w:r>
              <w:rPr>
                <w:b w:val="0"/>
                <w:sz w:val="19"/>
              </w:rPr>
              <w:t>30</w:t>
            </w:r>
          </w:p>
        </w:tc>
        <w:tc>
          <w:tcPr>
            <w:tcW w:type="dxa" w:w="1440"/>
          </w:tcPr>
          <w:p>
            <w:r/>
            <w:r>
              <w:rPr>
                <w:b w:val="0"/>
                <w:sz w:val="19"/>
              </w:rPr>
            </w:r>
          </w:p>
        </w:tc>
      </w:tr>
      <w:tr>
        <w:tc>
          <w:tcPr>
            <w:tcW w:type="dxa" w:w="3456"/>
          </w:tcPr>
          <w:p>
            <w:r/>
            <w:r>
              <w:rPr>
                <w:b w:val="0"/>
                <w:sz w:val="19"/>
              </w:rPr>
              <w:t>Part II, Application</w:t>
            </w:r>
          </w:p>
        </w:tc>
        <w:tc>
          <w:tcPr>
            <w:tcW w:type="dxa" w:w="2880"/>
          </w:tcPr>
          <w:p>
            <w:r/>
            <w:r>
              <w:rPr>
                <w:b w:val="0"/>
                <w:sz w:val="19"/>
              </w:rPr>
              <w:t>33 to 42 (10 items)</w:t>
            </w:r>
          </w:p>
        </w:tc>
        <w:tc>
          <w:tcPr>
            <w:tcW w:type="dxa" w:w="1872"/>
          </w:tcPr>
          <w:p>
            <w:r/>
            <w:r>
              <w:rPr>
                <w:b w:val="0"/>
                <w:sz w:val="19"/>
              </w:rPr>
              <w:t>40</w:t>
            </w:r>
          </w:p>
        </w:tc>
        <w:tc>
          <w:tcPr>
            <w:tcW w:type="dxa" w:w="1440"/>
          </w:tcPr>
          <w:p>
            <w:r/>
            <w:r>
              <w:rPr>
                <w:b w:val="0"/>
                <w:sz w:val="19"/>
              </w:rPr>
            </w:r>
          </w:p>
        </w:tc>
      </w:tr>
      <w:tr>
        <w:tc>
          <w:tcPr>
            <w:tcW w:type="dxa" w:w="3456"/>
          </w:tcPr>
          <w:p>
            <w:r/>
            <w:r>
              <w:rPr>
                <w:b w:val="0"/>
                <w:sz w:val="19"/>
              </w:rPr>
              <w:t>Part III, Analysis and Essay</w:t>
            </w:r>
          </w:p>
        </w:tc>
        <w:tc>
          <w:tcPr>
            <w:tcW w:type="dxa" w:w="2880"/>
          </w:tcPr>
          <w:p>
            <w:r/>
            <w:r>
              <w:rPr>
                <w:b w:val="0"/>
                <w:sz w:val="19"/>
              </w:rPr>
              <w:t>43 to 47 (5 items)</w:t>
            </w:r>
          </w:p>
        </w:tc>
        <w:tc>
          <w:tcPr>
            <w:tcW w:type="dxa" w:w="1872"/>
          </w:tcPr>
          <w:p>
            <w:r/>
            <w:r>
              <w:rPr>
                <w:b w:val="0"/>
                <w:sz w:val="19"/>
              </w:rPr>
              <w:t>30</w:t>
            </w:r>
          </w:p>
        </w:tc>
        <w:tc>
          <w:tcPr>
            <w:tcW w:type="dxa" w:w="1440"/>
          </w:tcPr>
          <w:p>
            <w:r/>
            <w:r>
              <w:rPr>
                <w:b w:val="0"/>
                <w:sz w:val="19"/>
              </w:rPr>
            </w:r>
          </w:p>
        </w:tc>
      </w:tr>
      <w:tr>
        <w:tc>
          <w:tcPr>
            <w:tcW w:type="dxa" w:w="3456"/>
          </w:tcPr>
          <w:p>
            <w:r/>
            <w:r>
              <w:rPr>
                <w:b w:val="0"/>
                <w:sz w:val="19"/>
              </w:rPr>
              <w:t>Total</w:t>
            </w:r>
          </w:p>
        </w:tc>
        <w:tc>
          <w:tcPr>
            <w:tcW w:type="dxa" w:w="2880"/>
          </w:tcPr>
          <w:p>
            <w:r/>
            <w:r>
              <w:rPr>
                <w:b w:val="0"/>
                <w:sz w:val="19"/>
              </w:rPr>
              <w:t>18 to 47 (30 items)</w:t>
            </w:r>
          </w:p>
        </w:tc>
        <w:tc>
          <w:tcPr>
            <w:tcW w:type="dxa" w:w="1872"/>
          </w:tcPr>
          <w:p>
            <w:r/>
            <w:r>
              <w:rPr>
                <w:b w:val="0"/>
                <w:sz w:val="19"/>
              </w:rPr>
              <w:t>100</w:t>
            </w:r>
          </w:p>
        </w:tc>
        <w:tc>
          <w:tcPr>
            <w:tcW w:type="dxa" w:w="1440"/>
          </w:tcPr>
          <w:p>
            <w:r/>
            <w:r>
              <w:rPr>
                <w:b w:val="0"/>
                <w:sz w:val="19"/>
              </w:rPr>
            </w:r>
          </w:p>
        </w:tc>
      </w:tr>
    </w:tbl>
    <w:p/>
    <w:p>
      <w:pPr>
        <w:pBdr>
          <w:bottom w:val="single" w:sz="6" w:color="1F4E79" w:space="2"/>
        </w:pBdr>
      </w:pPr>
      <w:r>
        <w:rPr>
          <w:b/>
          <w:color w:val="1F4E79"/>
          <w:sz w:val="30"/>
        </w:rPr>
        <w:t>Final Group Requirement: Finalizing and Presenting Your System Design Document</w:t>
      </w:r>
    </w:p>
    <w:p>
      <w:r>
        <w:rPr>
          <w:b w:val="0"/>
          <w:i w:val="0"/>
          <w:sz w:val="21"/>
        </w:rPr>
        <w:t>This module closes with one requirement that your whole group completes together, separate from the individually written Learning Activities and Final Assessment above. It puts this module's first learning outcome directly into practice, and it is graded separately from the 100-point Final Assessment; it does not add to that total.</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9360"/>
      </w:tblGrid>
      <w:tr>
        <w:tc>
          <w:tcPr>
            <w:tcW w:type="dxa" w:w="9360"/>
            <w:shd w:val="clear" w:color="auto" w:fill="E8EEF7"/>
          </w:tcPr>
          <w:p>
            <w:r/>
            <w:r>
              <w:rPr>
                <w:b/>
                <w:color w:val="1F3B64"/>
                <w:sz w:val="19"/>
              </w:rPr>
              <w:t>YOUR FINAL REQUIREMENT</w:t>
            </w:r>
          </w:p>
          <w:p>
            <w:r>
              <w:rPr>
                <w:sz w:val="20"/>
              </w:rPr>
              <w:t>As your group's final requirement for this module, finalize your system's architecture, database schema, and process/data flow diagrams, based on the recommendations your panel gave you at your Capstone 1 proposal defense.</w:t>
            </w:r>
          </w:p>
        </w:tc>
      </w:tr>
    </w:tbl>
    <w:p/>
    <w:p>
      <w:r>
        <w:rPr>
          <w:b w:val="0"/>
          <w:i w:val="0"/>
          <w:sz w:val="21"/>
        </w:rPr>
        <w:t>This finalized output becomes part of the complete System Design Document described in this module's Performance Standard, together with your refined UI/UX mockups. Use the schema-refinement checklist, the DFD leveling guidance, and the worked model in this module as your working reference while you finalize each artifact.</w:t>
      </w:r>
    </w:p>
    <w:p>
      <w:r>
        <w:rPr>
          <w:b/>
          <w:color w:val="1F4E79"/>
          <w:sz w:val="24"/>
        </w:rPr>
        <w:t>Presentation Requirement</w:t>
      </w:r>
    </w:p>
    <w:p>
      <w:r>
        <w:rPr>
          <w:b w:val="0"/>
          <w:i w:val="0"/>
          <w:sz w:val="21"/>
        </w:rPr>
        <w:t>Your group will present this finalized output to the class within 10 to 15 minutes during your next scheduled meeting. Every group member should be prepared to speak for part of the presentation and to answer questions from your instructor afterward.</w:t>
      </w:r>
    </w:p>
    <w:p>
      <w:r>
        <w:rPr>
          <w:b/>
          <w:color w:val="1F4E79"/>
          <w:sz w:val="24"/>
        </w:rPr>
        <w:t>Suggested Presentation Outline</w:t>
      </w:r>
    </w:p>
    <w:p>
      <w:r>
        <w:rPr>
          <w:b w:val="0"/>
          <w:i w:val="0"/>
          <w:sz w:val="21"/>
        </w:rPr>
        <w:t>Use the outline below as a starting structure. Adjust the timing to fit your own content, but stay within the 10 to 15 minute limit.</w:t>
      </w:r>
    </w:p>
    <w:p>
      <w:pPr>
        <w:pStyle w:val="ListBullet"/>
      </w:pPr>
      <w:r>
        <w:rPr>
          <w:b/>
          <w:sz w:val="21"/>
        </w:rPr>
        <w:t xml:space="preserve">1. Introduction and problem recap, about 1 minute. </w:t>
      </w:r>
      <w:r>
        <w:rPr>
          <w:sz w:val="21"/>
        </w:rPr>
        <w:t>State your system's name, the problem it addresses, and its intended end users.</w:t>
      </w:r>
    </w:p>
    <w:p>
      <w:pPr>
        <w:pStyle w:val="ListBullet"/>
      </w:pPr>
      <w:r>
        <w:rPr>
          <w:b/>
          <w:sz w:val="21"/>
        </w:rPr>
        <w:t xml:space="preserve">2. Panel recommendations recap, about 1 to 2 minutes. </w:t>
      </w:r>
      <w:r>
        <w:rPr>
          <w:sz w:val="21"/>
        </w:rPr>
        <w:t>State each recommendation your panel gave at your Capstone 1 proposal defense.</w:t>
      </w:r>
    </w:p>
    <w:p>
      <w:pPr>
        <w:pStyle w:val="ListBullet"/>
      </w:pPr>
      <w:r>
        <w:rPr>
          <w:b/>
          <w:sz w:val="21"/>
        </w:rPr>
        <w:t xml:space="preserve">3. Finalized architecture, about 2 minutes. </w:t>
      </w:r>
      <w:r>
        <w:rPr>
          <w:sz w:val="21"/>
        </w:rPr>
        <w:t>Show your architecture diagram, name the pattern you chose, and explain how it resolves the relevant recommendation.</w:t>
      </w:r>
    </w:p>
    <w:p>
      <w:pPr>
        <w:pStyle w:val="ListBullet"/>
      </w:pPr>
      <w:r>
        <w:rPr>
          <w:b/>
          <w:sz w:val="21"/>
        </w:rPr>
        <w:t xml:space="preserve">4. Finalized database schema, about 2 minutes. </w:t>
      </w:r>
      <w:r>
        <w:rPr>
          <w:sz w:val="21"/>
        </w:rPr>
        <w:t>Show your ERD, and highlight the entities, attributes, or relationships that changed in response to a recommendation.</w:t>
      </w:r>
    </w:p>
    <w:p>
      <w:pPr>
        <w:pStyle w:val="ListBullet"/>
      </w:pPr>
      <w:r>
        <w:rPr>
          <w:b/>
          <w:sz w:val="21"/>
        </w:rPr>
        <w:t xml:space="preserve">5. Finalized process and data flow diagrams, about 2 minutes. </w:t>
      </w:r>
      <w:r>
        <w:rPr>
          <w:sz w:val="21"/>
        </w:rPr>
        <w:t>Show your DFD, and walk through one subprocess in detail.</w:t>
      </w:r>
    </w:p>
    <w:p>
      <w:pPr>
        <w:pStyle w:val="ListBullet"/>
      </w:pPr>
      <w:r>
        <w:rPr>
          <w:b/>
          <w:sz w:val="21"/>
        </w:rPr>
        <w:t xml:space="preserve">6. Design justification, about 2 to 3 minutes. </w:t>
      </w:r>
      <w:r>
        <w:rPr>
          <w:sz w:val="21"/>
        </w:rPr>
        <w:t>Present a four-part justification, functionality, security, scalability, and problem alignment, for your most significant design change.</w:t>
      </w:r>
    </w:p>
    <w:p>
      <w:pPr>
        <w:pStyle w:val="ListBullet"/>
      </w:pPr>
      <w:r>
        <w:rPr>
          <w:b/>
          <w:sz w:val="21"/>
        </w:rPr>
        <w:t xml:space="preserve">7. Questions and answers, about 2 to 3 minutes. </w:t>
      </w:r>
      <w:r>
        <w:rPr>
          <w:sz w:val="21"/>
        </w:rPr>
        <w:t>Be ready for follow-up questions on any artifact your group presented.</w:t>
      </w:r>
    </w:p>
    <w:p>
      <w:r>
        <w:rPr>
          <w:b w:val="0"/>
          <w:i/>
          <w:color w:val="595959"/>
          <w:sz w:val="21"/>
        </w:rPr>
        <w:t>When you describe the tools you used, refer to the type of tool, for example a diagramming tool, a database modeling tool, or a UI/UX design tool, rather than a specific product name.</w:t>
      </w:r>
    </w:p>
    <w:p>
      <w:r>
        <w:rPr>
          <w:b/>
          <w:color w:val="1F4E79"/>
          <w:sz w:val="24"/>
        </w:rPr>
        <w:t>Group Identification</w:t>
      </w:r>
    </w:p>
    <w:p>
      <w:r>
        <w:rPr>
          <w:b w:val="0"/>
          <w:i w:val="0"/>
          <w:sz w:val="21"/>
        </w:rPr>
        <w:t>Complete this before your presentation.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680"/>
        <w:gridCol w:w="4680"/>
      </w:tblGrid>
      <w:tr>
        <w:tc>
          <w:tcPr>
            <w:tcW w:type="dxa" w:w="3024"/>
          </w:tcPr>
          <w:p>
            <w:r/>
            <w:r>
              <w:rPr>
                <w:b/>
                <w:sz w:val="20"/>
              </w:rPr>
              <w:t>Group Number</w:t>
            </w:r>
          </w:p>
        </w:tc>
        <w:tc>
          <w:tcPr>
            <w:tcW w:type="dxa" w:w="6336"/>
          </w:tcPr>
          <w:p>
            <w:r/>
            <w:r>
              <w:rPr>
                <w:b w:val="0"/>
                <w:sz w:val="20"/>
              </w:rPr>
            </w:r>
          </w:p>
        </w:tc>
      </w:tr>
      <w:tr>
        <w:tc>
          <w:tcPr>
            <w:tcW w:type="dxa" w:w="3024"/>
          </w:tcPr>
          <w:p>
            <w:r/>
            <w:r>
              <w:rPr>
                <w:b/>
                <w:sz w:val="20"/>
              </w:rPr>
              <w:t>Project / System Title</w:t>
            </w:r>
          </w:p>
        </w:tc>
        <w:tc>
          <w:tcPr>
            <w:tcW w:type="dxa" w:w="6336"/>
          </w:tcPr>
          <w:p>
            <w:r/>
            <w:r>
              <w:rPr>
                <w:b w:val="0"/>
                <w:sz w:val="20"/>
              </w:rPr>
              <w:t>Katuwang — Peer Tutoring Management Platform for Taysan Resettlement Integrated School (TRIS)</w:t>
            </w:r>
          </w:p>
        </w:tc>
      </w:tr>
      <w:tr>
        <w:tc>
          <w:tcPr>
            <w:tcW w:type="dxa" w:w="3024"/>
          </w:tcPr>
          <w:p>
            <w:r/>
            <w:r>
              <w:rPr>
                <w:b/>
                <w:sz w:val="20"/>
              </w:rPr>
              <w:t>Member 1 (Name and Role)</w:t>
            </w:r>
          </w:p>
        </w:tc>
        <w:tc>
          <w:tcPr>
            <w:tcW w:type="dxa" w:w="6336"/>
          </w:tcPr>
          <w:p>
            <w:r/>
            <w:r>
              <w:rPr>
                <w:b w:val="0"/>
                <w:sz w:val="20"/>
              </w:rPr>
            </w:r>
          </w:p>
        </w:tc>
      </w:tr>
      <w:tr>
        <w:tc>
          <w:tcPr>
            <w:tcW w:type="dxa" w:w="3024"/>
          </w:tcPr>
          <w:p>
            <w:r/>
            <w:r>
              <w:rPr>
                <w:b/>
                <w:sz w:val="20"/>
              </w:rPr>
              <w:t>Member 2 (Name and Role)</w:t>
            </w:r>
          </w:p>
        </w:tc>
        <w:tc>
          <w:tcPr>
            <w:tcW w:type="dxa" w:w="6336"/>
          </w:tcPr>
          <w:p>
            <w:r/>
            <w:r>
              <w:rPr>
                <w:b w:val="0"/>
                <w:sz w:val="20"/>
              </w:rPr>
            </w:r>
          </w:p>
        </w:tc>
      </w:tr>
      <w:tr>
        <w:tc>
          <w:tcPr>
            <w:tcW w:type="dxa" w:w="3024"/>
          </w:tcPr>
          <w:p>
            <w:r/>
            <w:r>
              <w:rPr>
                <w:b/>
                <w:sz w:val="20"/>
              </w:rPr>
              <w:t>Member 3 (Name and Role)</w:t>
            </w:r>
          </w:p>
        </w:tc>
        <w:tc>
          <w:tcPr>
            <w:tcW w:type="dxa" w:w="6336"/>
          </w:tcPr>
          <w:p>
            <w:r/>
            <w:r>
              <w:rPr>
                <w:b w:val="0"/>
                <w:sz w:val="20"/>
              </w:rPr>
            </w:r>
          </w:p>
        </w:tc>
      </w:tr>
      <w:tr>
        <w:tc>
          <w:tcPr>
            <w:tcW w:type="dxa" w:w="3024"/>
          </w:tcPr>
          <w:p>
            <w:r/>
            <w:r>
              <w:rPr>
                <w:b/>
                <w:sz w:val="20"/>
              </w:rPr>
              <w:t>Member 4 (Name and Role)</w:t>
            </w:r>
          </w:p>
        </w:tc>
        <w:tc>
          <w:tcPr>
            <w:tcW w:type="dxa" w:w="6336"/>
          </w:tcPr>
          <w:p>
            <w:r/>
            <w:r>
              <w:rPr>
                <w:b w:val="0"/>
                <w:sz w:val="20"/>
              </w:rPr>
            </w:r>
          </w:p>
        </w:tc>
      </w:tr>
      <w:tr>
        <w:tc>
          <w:tcPr>
            <w:tcW w:type="dxa" w:w="3024"/>
          </w:tcPr>
          <w:p>
            <w:r/>
            <w:r>
              <w:rPr>
                <w:b/>
                <w:sz w:val="20"/>
              </w:rPr>
              <w:t>Member 5 (Name and Role)</w:t>
            </w:r>
          </w:p>
        </w:tc>
        <w:tc>
          <w:tcPr>
            <w:tcW w:type="dxa" w:w="6336"/>
          </w:tcPr>
          <w:p>
            <w:r/>
            <w:r>
              <w:rPr>
                <w:b w:val="0"/>
                <w:sz w:val="20"/>
              </w:rPr>
            </w:r>
          </w:p>
        </w:tc>
      </w:tr>
    </w:tbl>
    <w:p/>
    <w:p>
      <w:r>
        <w:rPr>
          <w:b/>
          <w:color w:val="1F4E79"/>
          <w:sz w:val="24"/>
        </w:rPr>
        <w:t>Group Presentation Rubric (Preview)</w:t>
      </w:r>
    </w:p>
    <w:p>
      <w:r>
        <w:rPr>
          <w:b w:val="0"/>
          <w:i w:val="0"/>
          <w:sz w:val="21"/>
        </w:rPr>
        <w:t>Your instructor will grade this presentation using the four criteria below. Each is worth 25 points, for a total of 100 points.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120"/>
        <w:gridCol w:w="3120"/>
        <w:gridCol w:w="3120"/>
      </w:tblGrid>
      <w:tr>
        <w:tc>
          <w:tcPr>
            <w:tcW w:type="dxa" w:w="3312"/>
            <w:shd w:val="clear" w:color="auto" w:fill="1F3864"/>
          </w:tcPr>
          <w:p>
            <w:r/>
            <w:r>
              <w:rPr>
                <w:b/>
                <w:color w:val="FFFFFF"/>
                <w:sz w:val="19"/>
              </w:rPr>
              <w:t>Criterion</w:t>
            </w:r>
          </w:p>
        </w:tc>
        <w:tc>
          <w:tcPr>
            <w:tcW w:type="dxa" w:w="1008"/>
            <w:shd w:val="clear" w:color="auto" w:fill="1F3864"/>
          </w:tcPr>
          <w:p>
            <w:r/>
            <w:r>
              <w:rPr>
                <w:b/>
                <w:color w:val="FFFFFF"/>
                <w:sz w:val="19"/>
              </w:rPr>
              <w:t>Points</w:t>
            </w:r>
          </w:p>
        </w:tc>
        <w:tc>
          <w:tcPr>
            <w:tcW w:type="dxa" w:w="5328"/>
            <w:shd w:val="clear" w:color="auto" w:fill="1F3864"/>
          </w:tcPr>
          <w:p>
            <w:r/>
            <w:r>
              <w:rPr>
                <w:b/>
                <w:color w:val="FFFFFF"/>
                <w:sz w:val="19"/>
              </w:rPr>
              <w:t>What This Assesses</w:t>
            </w:r>
          </w:p>
        </w:tc>
      </w:tr>
      <w:tr>
        <w:tc>
          <w:tcPr>
            <w:tcW w:type="dxa" w:w="3312"/>
          </w:tcPr>
          <w:p>
            <w:r/>
            <w:r>
              <w:rPr>
                <w:b w:val="0"/>
                <w:sz w:val="19"/>
              </w:rPr>
              <w:t>Design Completeness and Technical Accuracy</w:t>
            </w:r>
          </w:p>
        </w:tc>
        <w:tc>
          <w:tcPr>
            <w:tcW w:type="dxa" w:w="1008"/>
          </w:tcPr>
          <w:p>
            <w:r/>
            <w:r>
              <w:rPr>
                <w:b w:val="0"/>
                <w:sz w:val="19"/>
              </w:rPr>
              <w:t>25</w:t>
            </w:r>
          </w:p>
        </w:tc>
        <w:tc>
          <w:tcPr>
            <w:tcW w:type="dxa" w:w="5328"/>
          </w:tcPr>
          <w:p>
            <w:r/>
            <w:r>
              <w:rPr>
                <w:b w:val="0"/>
                <w:sz w:val="19"/>
              </w:rPr>
              <w:t>Whether your finalized architecture, database schema, and process/data flow diagrams are complete, technically sound, and consistent with each other.</w:t>
            </w:r>
          </w:p>
        </w:tc>
      </w:tr>
      <w:tr>
        <w:tc>
          <w:tcPr>
            <w:tcW w:type="dxa" w:w="3312"/>
          </w:tcPr>
          <w:p>
            <w:r/>
            <w:r>
              <w:rPr>
                <w:b w:val="0"/>
                <w:sz w:val="19"/>
              </w:rPr>
              <w:t>Incorporation of Panel Recommendations</w:t>
            </w:r>
          </w:p>
        </w:tc>
        <w:tc>
          <w:tcPr>
            <w:tcW w:type="dxa" w:w="1008"/>
          </w:tcPr>
          <w:p>
            <w:r/>
            <w:r>
              <w:rPr>
                <w:b w:val="0"/>
                <w:sz w:val="19"/>
              </w:rPr>
              <w:t>25</w:t>
            </w:r>
          </w:p>
        </w:tc>
        <w:tc>
          <w:tcPr>
            <w:tcW w:type="dxa" w:w="5328"/>
          </w:tcPr>
          <w:p>
            <w:r/>
            <w:r>
              <w:rPr>
                <w:b w:val="0"/>
                <w:sz w:val="19"/>
              </w:rPr>
              <w:t>Whether every recommendation your panel gave at your Capstone 1 proposal defense is clearly and specifically addressed.</w:t>
            </w:r>
          </w:p>
        </w:tc>
      </w:tr>
      <w:tr>
        <w:tc>
          <w:tcPr>
            <w:tcW w:type="dxa" w:w="3312"/>
          </w:tcPr>
          <w:p>
            <w:r/>
            <w:r>
              <w:rPr>
                <w:b w:val="0"/>
                <w:sz w:val="19"/>
              </w:rPr>
              <w:t>Design Justification</w:t>
            </w:r>
          </w:p>
        </w:tc>
        <w:tc>
          <w:tcPr>
            <w:tcW w:type="dxa" w:w="1008"/>
          </w:tcPr>
          <w:p>
            <w:r/>
            <w:r>
              <w:rPr>
                <w:b w:val="0"/>
                <w:sz w:val="19"/>
              </w:rPr>
              <w:t>25</w:t>
            </w:r>
          </w:p>
        </w:tc>
        <w:tc>
          <w:tcPr>
            <w:tcW w:type="dxa" w:w="5328"/>
          </w:tcPr>
          <w:p>
            <w:r/>
            <w:r>
              <w:rPr>
                <w:b w:val="0"/>
                <w:sz w:val="19"/>
              </w:rPr>
              <w:t>Whether your four-part justification, functionality, security, scalability, and problem alignment, is specific and accurate, not generic.</w:t>
            </w:r>
          </w:p>
        </w:tc>
      </w:tr>
      <w:tr>
        <w:tc>
          <w:tcPr>
            <w:tcW w:type="dxa" w:w="3312"/>
          </w:tcPr>
          <w:p>
            <w:r/>
            <w:r>
              <w:rPr>
                <w:b w:val="0"/>
                <w:sz w:val="19"/>
              </w:rPr>
              <w:t>Presentation Delivery and Team Participation</w:t>
            </w:r>
          </w:p>
        </w:tc>
        <w:tc>
          <w:tcPr>
            <w:tcW w:type="dxa" w:w="1008"/>
          </w:tcPr>
          <w:p>
            <w:r/>
            <w:r>
              <w:rPr>
                <w:b w:val="0"/>
                <w:sz w:val="19"/>
              </w:rPr>
              <w:t>25</w:t>
            </w:r>
          </w:p>
        </w:tc>
        <w:tc>
          <w:tcPr>
            <w:tcW w:type="dxa" w:w="5328"/>
          </w:tcPr>
          <w:p>
            <w:r/>
            <w:r>
              <w:rPr>
                <w:b w:val="0"/>
                <w:sz w:val="19"/>
              </w:rPr>
              <w:t>Whether the presentation is organized, stays within the 10 to 15 minute limit, and involves every group member.</w:t>
            </w:r>
          </w:p>
        </w:tc>
      </w:tr>
    </w:tbl>
    <w:p/>
    <w:sectPr w:rsidR="00FC693F" w:rsidRPr="0006063C" w:rsidSect="00034616">
      <w:headerReference w:type="default" r:id="rId9"/>
      <w:footerReference w:type="default" r:id="rId10"/>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7"/>
      </w:rPr>
      <w:t>BUCS | IT Department | FRP</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i/>
        <w:sz w:val="17"/>
      </w:rPr>
      <w:t>IT 124 | Capstone Project 2 | Module 01  —  System Design Refinement (Katuwang answered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