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2.xml.rels" ContentType="application/vnd.openxmlformats-package.relationship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jpeg" ContentType="image/jpeg"/>
  <Override PartName="/word/media/image3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9"/>
        <w:gridCol w:w="4353"/>
      </w:tblGrid>
      <w:tr>
        <w:trPr>
          <w:trHeight w:val="80" w:hRule="atLeast"/>
        </w:trPr>
        <w:tc>
          <w:tcPr>
            <w:tcW w:w="380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120" w:after="120"/>
              <w:jc w:val="left"/>
              <w:rPr/>
            </w:pPr>
            <w:r>
              <w:rPr>
                <w:rFonts w:eastAsia="Verdana"/>
                <w:kern w:val="0"/>
                <w:sz w:val="18"/>
                <w:szCs w:val="18"/>
                <w:lang w:val="pl-PL" w:eastAsia="en-US" w:bidi="ar-SA"/>
              </w:rPr>
              <w:t>Wrocław, dnia 2025-09-08</w:t>
            </w:r>
            <w:sdt>
              <w:sdtPr>
                <w:date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Verdana"/>
                    <w:kern w:val="0"/>
                    <w:sz w:val="18"/>
                    <w:szCs w:val="18"/>
                    <w:lang w:val="pl-PL" w:eastAsia="en-US" w:bidi="ar-SA"/>
                  </w:rPr>
                </w:r>
                <w:r>
                  <w:rPr>
                    <w:rFonts w:eastAsia="Verdana"/>
                    <w:kern w:val="0"/>
                    <w:sz w:val="18"/>
                    <w:szCs w:val="18"/>
                    <w:lang w:val="pl-PL" w:eastAsia="en-US" w:bidi="ar-SA"/>
                  </w:rPr>
                </w:r>
                <w:r>
                  <w:rPr>
                    <w:rFonts w:eastAsia="Verdana"/>
                    <w:kern w:val="0"/>
                    <w:sz w:val="18"/>
                    <w:szCs w:val="18"/>
                    <w:lang w:val="pl-PL" w:eastAsia="en-US" w:bidi="ar-SA"/>
                  </w:rPr>
                </w:r>
              </w:sdtContent>
            </w:sdt>
          </w:p>
        </w:tc>
        <w:tc>
          <w:tcPr>
            <w:tcW w:w="43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120" w:after="120"/>
              <w:jc w:val="right"/>
              <w:rPr>
                <w:rFonts w:eastAsia="Verdana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eastAsia="Verdana"/>
                <w:kern w:val="0"/>
                <w:sz w:val="18"/>
                <w:szCs w:val="18"/>
                <w:lang w:val="pl-PL" w:eastAsia="en-US" w:bidi="ar-SA"/>
              </w:rPr>
              <w:t>Nr sprawy: {{ TEXT:Sprawa }}</w:t>
            </w:r>
          </w:p>
        </w:tc>
      </w:tr>
    </w:tbl>
    <w:p>
      <w:pPr>
        <w:pStyle w:val="Normal"/>
        <w:pBdr>
          <w:top w:val="single" w:sz="4" w:space="0" w:color="000000"/>
          <w:left w:val="single" w:sz="4" w:space="4" w:color="000000"/>
          <w:right w:val="single" w:sz="4" w:space="4" w:color="000000"/>
        </w:pBdr>
        <w:shd w:val="clear" w:fill="D9D9D9"/>
        <w:spacing w:lineRule="auto" w:line="276" w:before="120" w:after="120"/>
        <w:jc w:val="center"/>
        <w:rPr>
          <w:b/>
          <w:b/>
          <w:sz w:val="18"/>
          <w:szCs w:val="18"/>
        </w:rPr>
      </w:pPr>
      <w:r>
        <w:rPr>
          <w:b/>
          <w:sz w:val="18"/>
          <w:szCs w:val="18"/>
        </w:rPr>
        <w:t>ZAPYTANIE OFERTOWE</w:t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hd w:val="clear" w:fill="D9D9D9"/>
        <w:spacing w:lineRule="auto" w:line="276" w:before="120" w:after="120"/>
        <w:jc w:val="center"/>
        <w:rPr/>
      </w:pPr>
      <w:r>
        <w:rPr>
          <w:sz w:val="18"/>
          <w:szCs w:val="18"/>
        </w:rPr>
        <w:t xml:space="preserve">Pn. </w:t>
      </w:r>
      <w:r>
        <w:rPr>
          <w:b/>
          <w:bCs/>
          <w:sz w:val="18"/>
          <w:szCs w:val="18"/>
        </w:rPr>
        <w:t>„</w:t>
      </w:r>
      <w:r>
        <w:rPr>
          <w:sz w:val="18"/>
          <w:szCs w:val="18"/>
        </w:rPr>
        <w:t xml:space="preserve">{{ </w:t>
      </w:r>
      <w:r>
        <w:rPr>
          <w:b/>
          <w:bCs/>
          <w:sz w:val="18"/>
          <w:szCs w:val="18"/>
        </w:rPr>
        <w:t>TEXT:Nazwa</w:t>
      </w:r>
      <w:r>
        <w:rPr>
          <w:sz w:val="18"/>
          <w:szCs w:val="18"/>
        </w:rPr>
        <w:t xml:space="preserve"> }}</w:t>
      </w:r>
      <w:r>
        <w:rPr>
          <w:b/>
          <w:bCs/>
          <w:sz w:val="18"/>
          <w:szCs w:val="18"/>
        </w:rPr>
        <w:t>”</w:t>
      </w:r>
      <w:r>
        <w:rPr>
          <w:sz w:val="18"/>
          <w:szCs w:val="18"/>
        </w:rPr>
        <w:t>dla Sieci Badawczej ŁUKASIEWICZ - PORT Polskiego Ośrodka Rozwoju Technologii na potrzeby realizacji projektu</w:t>
      </w:r>
      <w:r>
        <w:rPr>
          <w:b/>
          <w:sz w:val="18"/>
          <w:szCs w:val="18"/>
        </w:rPr>
        <w:t xml:space="preserve">: „{{ TEXT:Nazwa_projektu }}”, </w:t>
      </w:r>
      <w:r>
        <w:rPr>
          <w:bCs/>
          <w:sz w:val="18"/>
          <w:szCs w:val="18"/>
        </w:rPr>
        <w:t>realizowanego w Programie {{ TEXT:Program }}, na podstawie umowy o dofinansowanie nr {{ TEXT:Umowa_dofinansowania }}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/>
      </w:pPr>
      <w:r>
        <w:rPr>
          <w:b/>
          <w:sz w:val="18"/>
          <w:szCs w:val="18"/>
        </w:rPr>
        <w:t xml:space="preserve">KOD CPV: </w:t>
      </w:r>
      <w:r>
        <w:rPr>
          <w:sz w:val="18"/>
          <w:szCs w:val="18"/>
        </w:rPr>
        <w:t>92111210-7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I. NAZWA ORAZ ADRES ZAMAWIAJĄCEGO</w:t>
      </w:r>
    </w:p>
    <w:p>
      <w:pPr>
        <w:pStyle w:val="Normal"/>
        <w:spacing w:lineRule="auto" w:line="276" w:before="120" w:after="120"/>
        <w:rPr/>
      </w:pPr>
      <w:r>
        <w:rPr>
          <w:b/>
          <w:bCs/>
          <w:sz w:val="18"/>
          <w:szCs w:val="18"/>
        </w:rPr>
        <w:t xml:space="preserve">Sieć Badawcza ŁUKASIEWICZ - PORT Polski Ośrodek Rozwoju Technologii </w:t>
        <w:br/>
      </w:r>
      <w:r>
        <w:rPr>
          <w:sz w:val="18"/>
          <w:szCs w:val="18"/>
        </w:rPr>
        <w:t>Ul. Stabłowicka 147, 54-066 Wrocław</w:t>
      </w:r>
    </w:p>
    <w:p>
      <w:pPr>
        <w:pStyle w:val="Normal"/>
        <w:spacing w:lineRule="auto" w:line="276" w:before="120" w:after="120"/>
        <w:rPr/>
      </w:pPr>
      <w:r>
        <w:rPr>
          <w:b/>
          <w:bCs/>
          <w:sz w:val="18"/>
          <w:szCs w:val="18"/>
        </w:rPr>
        <w:t>Tel</w:t>
      </w:r>
      <w:r>
        <w:rPr>
          <w:sz w:val="18"/>
          <w:szCs w:val="18"/>
        </w:rPr>
        <w:t>.: +48 71 734 77 77</w:t>
      </w:r>
    </w:p>
    <w:p>
      <w:pPr>
        <w:pStyle w:val="Normal"/>
        <w:spacing w:lineRule="auto" w:line="276" w:before="120" w:after="120"/>
        <w:rPr/>
      </w:pPr>
      <w:r>
        <w:rPr>
          <w:b/>
          <w:bCs/>
          <w:sz w:val="18"/>
          <w:szCs w:val="18"/>
        </w:rPr>
        <w:t>NIP</w:t>
      </w:r>
      <w:r>
        <w:rPr>
          <w:sz w:val="18"/>
          <w:szCs w:val="18"/>
        </w:rPr>
        <w:t xml:space="preserve">: 894 314 05 23, </w:t>
      </w:r>
      <w:r>
        <w:rPr>
          <w:b/>
          <w:bCs/>
          <w:sz w:val="18"/>
          <w:szCs w:val="18"/>
        </w:rPr>
        <w:t>REGON</w:t>
      </w:r>
      <w:r>
        <w:rPr>
          <w:sz w:val="18"/>
          <w:szCs w:val="18"/>
        </w:rPr>
        <w:t xml:space="preserve">: 386858168, </w:t>
      </w:r>
      <w:r>
        <w:rPr>
          <w:b/>
          <w:bCs/>
          <w:sz w:val="18"/>
          <w:szCs w:val="18"/>
        </w:rPr>
        <w:t>KRS</w:t>
      </w:r>
      <w:r>
        <w:rPr>
          <w:sz w:val="18"/>
          <w:szCs w:val="18"/>
        </w:rPr>
        <w:t xml:space="preserve">: 0000850580 </w:t>
      </w:r>
    </w:p>
    <w:p>
      <w:pPr>
        <w:pStyle w:val="Normal"/>
        <w:spacing w:lineRule="auto" w:line="276" w:before="120" w:after="120"/>
        <w:rPr/>
      </w:pPr>
      <w:r>
        <w:rPr>
          <w:sz w:val="18"/>
          <w:szCs w:val="18"/>
        </w:rPr>
        <w:t xml:space="preserve">Adres strony internetowej Zamawiającego: </w:t>
      </w:r>
      <w:hyperlink r:id="rId2">
        <w:r>
          <w:rPr>
            <w:rStyle w:val="InternetLink"/>
            <w:sz w:val="18"/>
            <w:szCs w:val="18"/>
          </w:rPr>
          <w:t>https://port.lukasiewicz.gov.pl/</w:t>
        </w:r>
      </w:hyperlink>
      <w:r>
        <w:rPr>
          <w:sz w:val="18"/>
          <w:szCs w:val="18"/>
        </w:rPr>
        <w:t xml:space="preserve"> </w:t>
      </w:r>
    </w:p>
    <w:p>
      <w:pPr>
        <w:pStyle w:val="Normal"/>
        <w:spacing w:lineRule="auto" w:line="276" w:before="120" w:after="120"/>
        <w:rPr/>
      </w:pPr>
      <w:r>
        <w:rPr>
          <w:sz w:val="18"/>
          <w:szCs w:val="18"/>
          <w:lang w:val="en-US"/>
        </w:rPr>
        <w:t xml:space="preserve">Adres e-mail: </w:t>
      </w:r>
      <w:hyperlink r:id="rId3">
        <w:r>
          <w:rPr>
            <w:rStyle w:val="InternetLink"/>
            <w:sz w:val="18"/>
            <w:szCs w:val="18"/>
            <w:lang w:val="en-US"/>
          </w:rPr>
          <w:t>biuro@port.lukasiewicz.gov.pl</w:t>
        </w:r>
      </w:hyperlink>
    </w:p>
    <w:p>
      <w:pPr>
        <w:pStyle w:val="Normal"/>
        <w:spacing w:lineRule="auto" w:line="276" w:before="120" w:after="12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II. OGŁOSZENIE O ZAMÓWIENIU</w:t>
      </w:r>
    </w:p>
    <w:p>
      <w:pPr>
        <w:pStyle w:val="Normal"/>
        <w:spacing w:lineRule="auto" w:line="276" w:before="120" w:after="120"/>
        <w:rPr/>
      </w:pPr>
      <w:r>
        <w:rPr>
          <w:sz w:val="18"/>
          <w:szCs w:val="18"/>
        </w:rPr>
        <w:t xml:space="preserve">Ogłoszenie o zamówieniu zostało opublikowane na Bazie Konkurencyjności dostępnej pod adresem: </w:t>
      </w:r>
      <w:hyperlink r:id="rId4">
        <w:r>
          <w:rPr>
            <w:rStyle w:val="InternetLink"/>
            <w:sz w:val="18"/>
            <w:szCs w:val="18"/>
          </w:rPr>
          <w:t>https://bazakonkurencyjnosci.funduszeeuropejskie.gov.pl/</w:t>
        </w:r>
      </w:hyperlink>
    </w:p>
    <w:p>
      <w:pPr>
        <w:pStyle w:val="ListParagraph"/>
        <w:spacing w:lineRule="auto" w:line="276" w:before="120" w:after="120"/>
        <w:ind w:left="0" w:right="0" w:hanging="0"/>
        <w:contextualSpacing w:val="false"/>
        <w:jc w:val="both"/>
        <w:rPr>
          <w:rFonts w:ascii="Verdana" w:hAnsi="Verdana"/>
          <w:sz w:val="18"/>
          <w:szCs w:val="18"/>
          <w:u w:val="single"/>
        </w:rPr>
      </w:pPr>
      <w:r>
        <w:rPr>
          <w:rFonts w:ascii="Verdana" w:hAnsi="Verdana"/>
          <w:sz w:val="18"/>
          <w:szCs w:val="18"/>
          <w:u w:val="single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III. TRYB ZAMÓWNIENIA</w:t>
      </w:r>
    </w:p>
    <w:p>
      <w:pPr>
        <w:pStyle w:val="Normal"/>
        <w:spacing w:lineRule="auto" w:line="276" w:before="120" w:after="120"/>
        <w:rPr/>
      </w:pPr>
      <w:r>
        <w:rPr>
          <w:sz w:val="18"/>
          <w:szCs w:val="18"/>
        </w:rPr>
        <w:t>Postępowanie niniejsze toczy się w trybie zasady konkurencyjności określonej w podrozdziale 3.2 Wytycznych dotyczących kwalifikowalności wydatków na lata 2021-2027 z dnia 18 listopada 2022 r. Do niniejszego postępowania nie mają zastosowania przepisy Ustawy z dnia 11 września 2019 r. Prawo</w:t>
      </w:r>
      <w:r>
        <w:rPr>
          <w:rFonts w:eastAsia="Verdana" w:cs="Verdana"/>
          <w:color w:val="000000"/>
          <w:spacing w:val="0"/>
          <w:kern w:val="2"/>
          <w:sz w:val="18"/>
          <w:szCs w:val="18"/>
          <w:lang w:eastAsia="pl-PL"/>
        </w:rPr>
        <w:t xml:space="preserve"> zgodnie z art. 2 ust. 1 pkt 1 ustawy z dnia 11 września 2019 r. Prawo zamówień publicznych</w:t>
      </w:r>
      <w:r>
        <w:rPr>
          <w:sz w:val="18"/>
          <w:szCs w:val="18"/>
        </w:rPr>
        <w:t xml:space="preserve">. 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IV. PRZEDMIOT ZAMÓWIENIA</w:t>
      </w:r>
    </w:p>
    <w:p>
      <w:pPr>
        <w:sectPr>
          <w:headerReference w:type="default" r:id="rId5"/>
          <w:footerReference w:type="default" r:id="rId6"/>
          <w:type w:val="nextPage"/>
          <w:pgSz w:w="11906" w:h="16838"/>
          <w:pgMar w:left="2722" w:right="1021" w:gutter="0" w:header="709" w:top="2325" w:footer="1247" w:bottom="3232"/>
          <w:pgNumType w:fmt="decimal"/>
          <w:formProt w:val="false"/>
          <w:textDirection w:val="lrTb"/>
          <w:docGrid w:type="default" w:linePitch="360" w:charSpace="0"/>
        </w:sectPr>
        <w:pStyle w:val="ListParagraph"/>
        <w:numPr>
          <w:ilvl w:val="0"/>
          <w:numId w:val="11"/>
        </w:numPr>
        <w:spacing w:lineRule="auto" w:line="276" w:before="120" w:after="120"/>
        <w:ind w:left="284" w:right="0" w:hanging="284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>Przedmiotem i celem zamówienia jest wyłonienie najkorzystniejszego oferenta na:  „{{ TEXT:Nazwa }}” dla Sieć Badawczej ŁUKASIEWICZ - PORT Polski Ośrodek Rozwoju Technologii 242</w:t>
      </w:r>
      <w:r>
        <w:rPr>
          <w:rFonts w:ascii="Verdana" w:hAnsi="Verdana"/>
          <w:sz w:val="18"/>
          <w:szCs w:val="18"/>
          <w:vertAlign w:val="superscript"/>
        </w:rPr>
        <w:t xml:space="preserve">2345 </w:t>
      </w:r>
      <w:r>
        <w:rPr>
          <w:rFonts w:ascii="Verdana" w:hAnsi="Verdana"/>
          <w:sz w:val="18"/>
          <w:szCs w:val="18"/>
          <w:vertAlign w:val="subscript"/>
        </w:rPr>
        <w:t>11212121</w:t>
      </w:r>
      <w:r>
        <w:rPr>
          <w:rFonts w:ascii="Verdana" w:hAnsi="Verdana"/>
          <w:position w:val="0"/>
          <w:sz w:val="18"/>
          <w:sz w:val="18"/>
          <w:szCs w:val="18"/>
          <w:vertAlign w:val="baseline"/>
        </w:rPr>
        <w:t>zfdzgzhfzghxg</w:t>
      </w:r>
    </w:p>
    <w:p>
      <w:pPr>
        <w:pStyle w:val="ListParagraph"/>
        <w:numPr>
          <w:ilvl w:val="0"/>
          <w:numId w:val="11"/>
        </w:numPr>
        <w:spacing w:lineRule="auto" w:line="276" w:before="120" w:after="120"/>
        <w:ind w:left="284" w:right="0" w:hanging="284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Szczegółowy zakres przedmiotu zamówienia opisujący potrzeby Zamawiającego określa </w:t>
      </w:r>
      <w:r>
        <w:rPr>
          <w:rFonts w:ascii="Verdana" w:hAnsi="Verdana"/>
          <w:b/>
          <w:sz w:val="18"/>
          <w:szCs w:val="18"/>
        </w:rPr>
        <w:t>Załączniki nr 1</w:t>
      </w:r>
      <w:r>
        <w:rPr>
          <w:rFonts w:ascii="Verdana" w:hAnsi="Verdana"/>
          <w:sz w:val="18"/>
          <w:szCs w:val="18"/>
        </w:rPr>
        <w:t xml:space="preserve"> do zapytania ofertowego – OPZ, zawierający również specyfikację parametrów technicznych i funkcjonalnych wymaganych i ocenianych kryteriów.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ind w:left="284" w:right="0" w:hanging="284"/>
        <w:rPr>
          <w:sz w:val="18"/>
          <w:szCs w:val="18"/>
        </w:rPr>
      </w:pPr>
      <w:r>
        <w:rPr>
          <w:sz w:val="18"/>
          <w:szCs w:val="18"/>
        </w:rPr>
        <w:t>V. TERMIN SKŁADANIA OFERT I TERMIN REALIZACJI ZAMÓWIENIA</w:t>
      </w:r>
    </w:p>
    <w:p>
      <w:pPr>
        <w:pStyle w:val="ListParagraph"/>
        <w:numPr>
          <w:ilvl w:val="0"/>
          <w:numId w:val="2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b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Termin składania ofert do {{ DATE:Data_oferty }} {{ TEXT:Godzina_oferty }}.</w:t>
      </w:r>
    </w:p>
    <w:p>
      <w:pPr>
        <w:pStyle w:val="ListParagraph"/>
        <w:numPr>
          <w:ilvl w:val="0"/>
          <w:numId w:val="2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b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Termin realizacji zamówienia – patrz Kryteria wyboru oferty.</w:t>
      </w:r>
    </w:p>
    <w:p>
      <w:pPr>
        <w:pStyle w:val="ListParagraph"/>
        <w:numPr>
          <w:ilvl w:val="0"/>
          <w:numId w:val="2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Zamawiający zastrzega sobie prawo do zmiany terminu realizacji przedmiotu zamówienia. Nowy termin będzie ustalany w konsultacji z wyłonionym w niniejszym postępowaniu Wykonawcą.</w:t>
      </w:r>
    </w:p>
    <w:p>
      <w:pPr>
        <w:pStyle w:val="ListParagraph"/>
        <w:numPr>
          <w:ilvl w:val="0"/>
          <w:numId w:val="2"/>
        </w:numPr>
        <w:spacing w:lineRule="auto" w:line="276" w:before="120" w:after="120"/>
        <w:ind w:left="284" w:right="0" w:hanging="284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>Zamawiający zastrzega sobie prawo do rezygnacji z realizowanego przedmiotu zamówienia w przypadku, gdy Zamawiający nie będzie w stanie zrealizować przedmiotu zamówienia jak również do odwołania i zakończenia niniejszego postępowania bez wyboru ofert jak również jego unieważnienia</w:t>
      </w:r>
      <w:r>
        <w:rPr>
          <w:rStyle w:val="FootnoteAnchor"/>
          <w:rFonts w:ascii="Verdana" w:hAnsi="Verdana"/>
          <w:sz w:val="18"/>
          <w:szCs w:val="18"/>
        </w:rPr>
        <w:footnoteReference w:id="2"/>
      </w:r>
      <w:r>
        <w:rPr>
          <w:rFonts w:ascii="Verdana" w:hAnsi="Verdana"/>
          <w:sz w:val="18"/>
          <w:szCs w:val="18"/>
        </w:rPr>
        <w:t>. Wykonawcy z tego tytułu nie będą przysługiwać jakiekolwiek roszczenia finansowe w stosunku do Zamawiającego.</w:t>
      </w:r>
    </w:p>
    <w:p>
      <w:pPr>
        <w:pStyle w:val="ListParagraph"/>
        <w:numPr>
          <w:ilvl w:val="0"/>
          <w:numId w:val="2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Zamawiający wymaga, aby Wykonawca wraz z przedmiotem zamówienia dostarczył kompletną dokumentację techniczną przedmiotu zamówienia oraz inne dokumenty jeżeli są wymagane przez Zamawiającego lub obowiązujące przepisy prawa.</w:t>
      </w:r>
    </w:p>
    <w:p>
      <w:pPr>
        <w:pStyle w:val="ListParagraph"/>
        <w:spacing w:lineRule="auto" w:line="276" w:before="120" w:after="120"/>
        <w:ind w:left="0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{{ START_Gwarancja }}</w:t>
      </w:r>
    </w:p>
    <w:p>
      <w:pPr>
        <w:pStyle w:val="ListParagraph"/>
        <w:spacing w:lineRule="auto" w:line="276" w:before="120" w:after="120"/>
        <w:ind w:left="0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Treść do wyświetlenia/ukrycia: Gwarancja</w:t>
      </w:r>
    </w:p>
    <w:p>
      <w:pPr>
        <w:pStyle w:val="ListParagraph"/>
        <w:spacing w:lineRule="auto" w:line="276" w:before="120" w:after="120"/>
        <w:ind w:left="0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{{ END_Gwarancja }}</w:t>
      </w:r>
    </w:p>
    <w:p>
      <w:pPr>
        <w:pStyle w:val="ListParagraph"/>
        <w:spacing w:lineRule="auto" w:line="276" w:before="120" w:after="120"/>
        <w:ind w:left="0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VI. WARUNKI UDZIAŁU W POSTĘPOWANIU ORAZ PRZESŁANKI WYKLUCZENIA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57" w:leader="none"/>
        </w:tabs>
        <w:spacing w:lineRule="auto" w:line="276" w:before="120" w:after="120"/>
        <w:ind w:left="283" w:right="0" w:hanging="283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 udzielenie zamówienia mogą ubiegać się Wykonawcy, którzy spełniają następujące warunki:</w:t>
      </w:r>
    </w:p>
    <w:p>
      <w:pPr>
        <w:pStyle w:val="ListParagraph"/>
        <w:numPr>
          <w:ilvl w:val="0"/>
          <w:numId w:val="4"/>
        </w:numPr>
        <w:spacing w:lineRule="auto" w:line="276" w:before="120" w:after="120"/>
        <w:ind w:left="567" w:right="0" w:hanging="283"/>
        <w:contextualSpacing w:val="false"/>
        <w:jc w:val="both"/>
        <w:rPr>
          <w:rFonts w:ascii="Verdana" w:hAnsi="Verdana"/>
          <w:b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Posiadania kompetencji lub uprawnień do prowadzenia określonej działalności zawodowej, o ile wynika to z odrębnych przepisów</w:t>
      </w:r>
    </w:p>
    <w:p>
      <w:pPr>
        <w:pStyle w:val="ListParagraph"/>
        <w:spacing w:lineRule="auto" w:line="276" w:before="120" w:after="120"/>
        <w:ind w:left="567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Opis sposobu dokonywania oceny spełniania tego warunku: </w:t>
      </w:r>
    </w:p>
    <w:p>
      <w:pPr>
        <w:pStyle w:val="ListParagraph"/>
        <w:spacing w:lineRule="auto" w:line="276" w:before="120" w:after="120"/>
        <w:ind w:left="568" w:right="0" w:hanging="0"/>
        <w:contextualSpacing w:val="false"/>
        <w:jc w:val="both"/>
        <w:rPr>
          <w:rFonts w:ascii="Verdana" w:hAnsi="Verdana"/>
          <w:i/>
          <w:i/>
          <w:iCs/>
          <w:sz w:val="18"/>
          <w:szCs w:val="18"/>
        </w:rPr>
      </w:pPr>
      <w:r>
        <w:rPr>
          <w:rFonts w:ascii="Verdana" w:hAnsi="Verdana"/>
          <w:i/>
          <w:iCs/>
          <w:sz w:val="18"/>
          <w:szCs w:val="18"/>
        </w:rPr>
        <w:t>Zamawiający nie precyzuje w tym zakresie wymagań, których spełnienie Wykonawca jest zobowiązany wykazać w sposób szczególny.</w:t>
      </w:r>
    </w:p>
    <w:p>
      <w:pPr>
        <w:pStyle w:val="ListParagraph"/>
        <w:numPr>
          <w:ilvl w:val="0"/>
          <w:numId w:val="4"/>
        </w:numPr>
        <w:spacing w:lineRule="auto" w:line="276" w:before="120" w:after="120"/>
        <w:ind w:left="568" w:right="0" w:hanging="284"/>
        <w:contextualSpacing w:val="false"/>
        <w:jc w:val="both"/>
        <w:rPr/>
      </w:pPr>
      <w:r>
        <w:rPr>
          <w:rFonts w:ascii="Verdana" w:hAnsi="Verdana"/>
          <w:b/>
          <w:sz w:val="18"/>
          <w:szCs w:val="18"/>
        </w:rPr>
        <w:t xml:space="preserve">posiadają niezbędną </w:t>
      </w:r>
      <w:r>
        <w:rPr>
          <w:rStyle w:val="EndnoteAnchor"/>
          <w:rFonts w:ascii="Verdana" w:hAnsi="Verdana"/>
          <w:b/>
          <w:sz w:val="18"/>
          <w:szCs w:val="18"/>
        </w:rPr>
        <w:endnoteReference w:id="2"/>
      </w:r>
      <w:r>
        <w:rPr>
          <w:rFonts w:ascii="Verdana" w:hAnsi="Verdana"/>
          <w:b/>
          <w:sz w:val="18"/>
          <w:szCs w:val="18"/>
        </w:rPr>
        <w:t xml:space="preserve">wiedzę i doświadczenie </w:t>
      </w:r>
    </w:p>
    <w:p>
      <w:pPr>
        <w:pStyle w:val="ListParagraph"/>
        <w:spacing w:lineRule="auto" w:line="276" w:before="120" w:after="120"/>
        <w:ind w:left="568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Opis sposobu dokonywania oceny spełniania tego warunku: </w:t>
      </w:r>
    </w:p>
    <w:p>
      <w:pPr>
        <w:pStyle w:val="ListParagraph"/>
        <w:spacing w:lineRule="auto" w:line="276" w:before="120" w:after="120"/>
        <w:ind w:left="568" w:right="0" w:hanging="0"/>
        <w:contextualSpacing w:val="false"/>
        <w:jc w:val="both"/>
        <w:rPr>
          <w:rFonts w:ascii="Verdana" w:hAnsi="Verdana"/>
          <w:i/>
          <w:i/>
          <w:iCs/>
          <w:sz w:val="18"/>
          <w:szCs w:val="18"/>
        </w:rPr>
      </w:pPr>
      <w:r>
        <w:rPr>
          <w:rFonts w:ascii="Verdana" w:hAnsi="Verdana"/>
          <w:i/>
          <w:iCs/>
          <w:sz w:val="18"/>
          <w:szCs w:val="18"/>
        </w:rPr>
        <w:t>Warunki zostały opisane w załączniku nr 1 - OPZ.</w:t>
      </w:r>
    </w:p>
    <w:p>
      <w:pPr>
        <w:pStyle w:val="ListParagraph"/>
        <w:numPr>
          <w:ilvl w:val="0"/>
          <w:numId w:val="4"/>
        </w:numPr>
        <w:spacing w:lineRule="auto" w:line="276" w:before="120" w:after="120"/>
        <w:ind w:left="643" w:right="0" w:hanging="360"/>
        <w:contextualSpacing w:val="false"/>
        <w:jc w:val="both"/>
        <w:rPr/>
      </w:pPr>
      <w:r>
        <w:rPr>
          <w:rFonts w:ascii="Verdana" w:hAnsi="Verdana"/>
          <w:b/>
          <w:sz w:val="18"/>
          <w:szCs w:val="18"/>
        </w:rPr>
        <w:t>dysponują potencjałem technicznym i osobami zdolnymi do wykonania zamówienia</w:t>
      </w:r>
      <w:r>
        <w:rPr>
          <w:rFonts w:ascii="Verdana" w:hAnsi="Verdana"/>
          <w:sz w:val="18"/>
          <w:szCs w:val="18"/>
        </w:rPr>
        <w:t xml:space="preserve"> </w:t>
      </w:r>
    </w:p>
    <w:p>
      <w:pPr>
        <w:pStyle w:val="ListParagraph"/>
        <w:spacing w:lineRule="auto" w:line="276" w:before="120" w:after="120"/>
        <w:ind w:left="643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Opis sposobu dokonywania oceny spełniania tego warunku: </w:t>
      </w:r>
    </w:p>
    <w:p>
      <w:pPr>
        <w:pStyle w:val="ListParagraph"/>
        <w:spacing w:lineRule="auto" w:line="276" w:before="120" w:after="120"/>
        <w:ind w:left="643" w:right="0" w:hanging="0"/>
        <w:contextualSpacing w:val="false"/>
        <w:jc w:val="both"/>
        <w:rPr>
          <w:rFonts w:ascii="Verdana" w:hAnsi="Verdana"/>
          <w:i/>
          <w:i/>
          <w:iCs/>
          <w:sz w:val="18"/>
          <w:szCs w:val="18"/>
        </w:rPr>
      </w:pPr>
      <w:r>
        <w:rPr>
          <w:rFonts w:ascii="Verdana" w:hAnsi="Verdana"/>
          <w:i/>
          <w:iCs/>
          <w:sz w:val="18"/>
          <w:szCs w:val="18"/>
        </w:rPr>
        <w:t>Warunki zostały opisane w załączniku nr 1 - OPZ.</w:t>
      </w:r>
    </w:p>
    <w:p>
      <w:pPr>
        <w:pStyle w:val="ListParagraph"/>
        <w:spacing w:lineRule="auto" w:line="276" w:before="120" w:after="120"/>
        <w:ind w:left="708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.</w:t>
      </w:r>
    </w:p>
    <w:p>
      <w:pPr>
        <w:pStyle w:val="ListParagraph"/>
        <w:numPr>
          <w:ilvl w:val="0"/>
          <w:numId w:val="4"/>
        </w:numPr>
        <w:spacing w:lineRule="auto" w:line="276" w:before="120" w:after="120"/>
        <w:ind w:left="641" w:right="0" w:hanging="357"/>
        <w:contextualSpacing w:val="false"/>
        <w:jc w:val="both"/>
        <w:rPr>
          <w:rFonts w:ascii="Verdana" w:hAnsi="Verdana"/>
          <w:b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znajdują się w sytuacji ekonomicznej i finansowej zapewniającej wykonanie zamówienia. </w:t>
      </w:r>
    </w:p>
    <w:p>
      <w:pPr>
        <w:pStyle w:val="ListParagraph"/>
        <w:spacing w:lineRule="auto" w:line="276" w:before="120" w:after="120"/>
        <w:ind w:left="641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Opis sposobu dokonywania oceny spełniania tego warunku: </w:t>
      </w:r>
    </w:p>
    <w:p>
      <w:pPr>
        <w:pStyle w:val="ListParagraph"/>
        <w:spacing w:lineRule="auto" w:line="276" w:before="120" w:after="120"/>
        <w:ind w:left="641" w:right="0" w:hanging="0"/>
        <w:contextualSpacing w:val="false"/>
        <w:jc w:val="both"/>
        <w:rPr>
          <w:rFonts w:ascii="Verdana" w:hAnsi="Verdana"/>
          <w:i/>
          <w:i/>
          <w:iCs/>
          <w:sz w:val="18"/>
          <w:szCs w:val="18"/>
        </w:rPr>
      </w:pPr>
      <w:r>
        <w:rPr>
          <w:rFonts w:ascii="Verdana" w:hAnsi="Verdana"/>
          <w:i/>
          <w:iCs/>
          <w:sz w:val="18"/>
          <w:szCs w:val="18"/>
        </w:rPr>
        <w:t>Zamawiający nie precyzuje w tym zakresie wymagań, których spełnienie Wykonawca jest zobowiązany wykazać w sposób szczególny.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57" w:leader="none"/>
        </w:tabs>
        <w:spacing w:lineRule="auto" w:line="276" w:before="120" w:after="120"/>
        <w:ind w:left="360" w:right="0" w:hanging="360"/>
        <w:contextualSpacing w:val="fals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 udzielenie zamówienia nie mogą ubiegać się Wykonawcy powiązani osobowo lub kapitałowo z Zamawiającym. Przez powiązania kapitałowe lub osobowe rozumie się wzajemne powiązania między Zamawiającym lub osobami upoważnionymi do zaciągania zobowiązań w imieniu Zamawiającego lub osobami wykonującymi w imieniu zamawiającego czynności związane z przygotowaniem i przeprowadzeniem procedury wyboru wykonawcy a wykonawcą, polegające w szczególności na: </w:t>
      </w:r>
    </w:p>
    <w:p>
      <w:pPr>
        <w:pStyle w:val="ListParagraph"/>
        <w:numPr>
          <w:ilvl w:val="0"/>
          <w:numId w:val="15"/>
        </w:numPr>
        <w:spacing w:lineRule="auto" w:line="276" w:before="120" w:after="120"/>
        <w:ind w:left="72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uczestniczeniu w spółce jako wspólnik spółki cywilnej lub spółki osobowej </w:t>
      </w:r>
    </w:p>
    <w:p>
      <w:pPr>
        <w:pStyle w:val="ListParagraph"/>
        <w:numPr>
          <w:ilvl w:val="0"/>
          <w:numId w:val="15"/>
        </w:numPr>
        <w:spacing w:lineRule="auto" w:line="276" w:before="120" w:after="120"/>
        <w:ind w:left="72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posiadaniu co najmniej 10% udziałów lub akcji </w:t>
      </w:r>
    </w:p>
    <w:p>
      <w:pPr>
        <w:pStyle w:val="ListParagraph"/>
        <w:numPr>
          <w:ilvl w:val="0"/>
          <w:numId w:val="15"/>
        </w:numPr>
        <w:spacing w:lineRule="auto" w:line="276" w:before="120" w:after="120"/>
        <w:ind w:left="72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pełnieniu funkcji członka organu nadzorczego lub zarządzającego, prokurenta, pełnomocnika </w:t>
      </w:r>
    </w:p>
    <w:p>
      <w:pPr>
        <w:pStyle w:val="ListParagraph"/>
        <w:numPr>
          <w:ilvl w:val="0"/>
          <w:numId w:val="15"/>
        </w:numPr>
        <w:spacing w:lineRule="auto" w:line="276" w:before="120" w:after="120"/>
        <w:ind w:left="72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pozostawaniu w związku małżeńskim, w stosunku pokrewieństwa lub powinowactwa w linii prostej, pokrewieństwa drugiego stopnia lub powinowactwa drugiego stopnia w linii bocznej lub w stosunku przysposobienia, opieki lub kurateli. 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57" w:leader="none"/>
        </w:tabs>
        <w:spacing w:lineRule="auto" w:line="276" w:before="120" w:after="120"/>
        <w:ind w:left="360" w:right="0" w:hanging="360"/>
        <w:contextualSpacing w:val="false"/>
        <w:rPr/>
      </w:pPr>
      <w:r>
        <w:rPr>
          <w:rFonts w:ascii="Verdana" w:hAnsi="Verdana"/>
          <w:sz w:val="18"/>
          <w:szCs w:val="18"/>
        </w:rPr>
        <w:t xml:space="preserve">Wykonawca złoży oświadczenie o braku powiązań kapitałowych lub osobowych pomiędzy Wykonawcą a Zamawiającym poprzez oświadczenie, o którym mowa w </w:t>
      </w:r>
      <w:r>
        <w:rPr>
          <w:rFonts w:ascii="Verdana" w:hAnsi="Verdana"/>
          <w:b/>
          <w:sz w:val="18"/>
          <w:szCs w:val="18"/>
        </w:rPr>
        <w:t>Załączniku nr 3</w:t>
      </w:r>
      <w:r>
        <w:rPr>
          <w:rFonts w:ascii="Verdana" w:hAnsi="Verdana"/>
          <w:sz w:val="18"/>
          <w:szCs w:val="18"/>
        </w:rPr>
        <w:t xml:space="preserve"> do niniejszego zapytania ofertowego. 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57" w:leader="none"/>
        </w:tabs>
        <w:spacing w:lineRule="auto" w:line="276" w:before="120" w:after="120"/>
        <w:ind w:left="360" w:right="0" w:hanging="360"/>
        <w:contextualSpacing w:val="false"/>
        <w:jc w:val="both"/>
        <w:rPr/>
      </w:pPr>
      <w:r>
        <w:rPr>
          <w:rFonts w:ascii="Verdana" w:hAnsi="Verdana"/>
          <w:b/>
          <w:sz w:val="18"/>
          <w:szCs w:val="18"/>
        </w:rPr>
        <w:t xml:space="preserve">W przypadku złożenia oferty przez Wykonawcę powiązanego kapitałowo lub osobowo z Zamawiającym, </w:t>
      </w:r>
      <w:r>
        <w:rPr>
          <w:rFonts w:ascii="Verdana" w:hAnsi="Verdana"/>
          <w:b/>
          <w:sz w:val="18"/>
          <w:szCs w:val="18"/>
          <w:u w:val="single"/>
        </w:rPr>
        <w:t>zostanie on wykluczony z udziału w postępowaniu</w:t>
      </w:r>
      <w:r>
        <w:rPr>
          <w:rFonts w:ascii="Verdana" w:hAnsi="Verdana"/>
          <w:b/>
          <w:sz w:val="18"/>
          <w:szCs w:val="18"/>
        </w:rPr>
        <w:t xml:space="preserve">. </w:t>
      </w:r>
      <w:bookmarkStart w:id="0" w:name="_Hlk101515360"/>
    </w:p>
    <w:p>
      <w:pPr>
        <w:pStyle w:val="ListParagraph"/>
        <w:numPr>
          <w:ilvl w:val="0"/>
          <w:numId w:val="3"/>
        </w:numPr>
        <w:tabs>
          <w:tab w:val="clear" w:pos="708"/>
          <w:tab w:val="left" w:pos="357" w:leader="none"/>
        </w:tabs>
        <w:spacing w:lineRule="auto" w:line="276" w:before="120" w:after="120"/>
        <w:ind w:left="360" w:right="0" w:hanging="360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>Zamówienie nie może być udzielone podmiotom i osobom, które w bezpośredni lub pośredni sposób wspierają działania wojenne Federacji Rosyjskiej lub są za nie odpowiedzialne i podlegają wykluczeniu z postępowania na podstawie art. 7 ust. 1 ustawy z dnia 13 kwietnia 2022 r. o szczególnych rozwiązaniach w zakresie przeciwdziałania wspieraniu agresji na Ukrainę oraz służących ochronie bezpieczeństwa narodowego (tj. Dz. U. z dnia 15 kwietnia 2022 r. poz. 835) lub/i na podstawie art. 5k rozporządzenia Rady (UE) nr 833/2014 z dnia 31 lipca 2014 r. dotyczącego środków ograniczających w związku z działaniami Rosji destabilizującymi sytuację na Ukrainie (Dz. Urz. UE nr L 229 z 31.7.2014, str. 1), dalej: rozporządzenie 833/2014, w brzmieniu nadanym rozporządzeniem Rady (UE) 2022/576 w sprawie zmiany rozporządzenia (UE) nr 833/2014 dotyczącego środków ograniczających w związku z działaniami Rosji destabilizującymi sytuację na Ukrainie (Dz. Urz. UE nr L 111 z 8.4.2022, str. 1).</w:t>
      </w:r>
      <w:bookmarkEnd w:id="0"/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VII. INFORMACJE O CHARAKTERZE PRAWNYM, EKONOMICZNYM, FINANSOWYM I TECHNICZNYM</w:t>
      </w:r>
    </w:p>
    <w:p>
      <w:pPr>
        <w:pStyle w:val="ListParagraph"/>
        <w:numPr>
          <w:ilvl w:val="0"/>
          <w:numId w:val="7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Zamówienie udzielane jest w trybie zapytania ofertowego, z zachowaniem zasady konkurencyjności, efektywności, jawności i przejrzystości. </w:t>
      </w:r>
    </w:p>
    <w:p>
      <w:pPr>
        <w:pStyle w:val="ListParagraph"/>
        <w:numPr>
          <w:ilvl w:val="0"/>
          <w:numId w:val="7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Złożenie oferty nie powoduje powstania żadnych zobowiązań wobec Stron. Oferty są przygotowywane na koszt Wykonawców. Każdy z Wykonawców może złożyć tylko jedną ofertę. </w:t>
      </w:r>
    </w:p>
    <w:p>
      <w:pPr>
        <w:pStyle w:val="ListParagraph"/>
        <w:numPr>
          <w:ilvl w:val="0"/>
          <w:numId w:val="7"/>
        </w:numPr>
        <w:spacing w:lineRule="auto" w:line="276" w:before="120" w:after="120"/>
        <w:ind w:left="284" w:right="0" w:hanging="284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Zamawiający  </w:t>
      </w:r>
      <w:r>
        <w:rPr>
          <w:rFonts w:ascii="Verdana" w:hAnsi="Verdana"/>
          <w:b/>
          <w:bCs/>
          <w:sz w:val="18"/>
          <w:szCs w:val="18"/>
        </w:rPr>
        <w:t>możliwości składania ofert na poszczególne części zgodnie z Załącznikiem nr 1 OPZ.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VIII. OPIS SPOSOBU OBLICZENIA CENY OFERTY</w:t>
      </w:r>
    </w:p>
    <w:p>
      <w:pPr>
        <w:pStyle w:val="ListParagraph"/>
        <w:numPr>
          <w:ilvl w:val="0"/>
          <w:numId w:val="6"/>
        </w:numPr>
        <w:spacing w:lineRule="auto" w:line="276" w:before="120" w:after="120"/>
        <w:ind w:left="284" w:right="0" w:hanging="284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Wykonawca zobowiązany jest do podania ceny za realizację przedmiotu zamówienia zgodnie z „Formularzem Ofertowym” stanowiącym </w:t>
      </w:r>
      <w:r>
        <w:rPr>
          <w:rFonts w:ascii="Verdana" w:hAnsi="Verdana"/>
          <w:b/>
          <w:sz w:val="18"/>
          <w:szCs w:val="18"/>
        </w:rPr>
        <w:t>Załącznik nr 2 {{ START_Podpisany_OPZ }} Oraz Załącznik nr 1 {{ END_Podpisany_OPZ }}.</w:t>
      </w:r>
    </w:p>
    <w:p>
      <w:pPr>
        <w:pStyle w:val="ListParagraph"/>
        <w:numPr>
          <w:ilvl w:val="0"/>
          <w:numId w:val="6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Należy podać całkowitą cenę netto jak i cenę brutto za realizację całego przedmiotu zamówienia. </w:t>
      </w:r>
    </w:p>
    <w:p>
      <w:pPr>
        <w:pStyle w:val="ListParagraph"/>
        <w:numPr>
          <w:ilvl w:val="0"/>
          <w:numId w:val="6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Wykonawca określa cenę realizacji zamówienia zgodnie z ustawą o informowaniu o cenach towarów i usług z dnia 9 maja 2014 r. (Dz.U.2023.168) poprzez wskazanie jej w „Formularzu Ofertowym. </w:t>
      </w:r>
    </w:p>
    <w:p>
      <w:pPr>
        <w:pStyle w:val="ListParagraph"/>
        <w:numPr>
          <w:ilvl w:val="0"/>
          <w:numId w:val="6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Podana w Ofercie cena musi być wyrażona w PLN. Cena musi uwzględniać wszystkie wymagania niniejszego zapytania ofertowego oraz obejmować wszelkie koszty (w tym podatki oraz inne opłaty). </w:t>
      </w:r>
    </w:p>
    <w:p>
      <w:pPr>
        <w:pStyle w:val="ListParagraph"/>
        <w:numPr>
          <w:ilvl w:val="0"/>
          <w:numId w:val="6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Ceną oferty jest całkowita cena brutto za realizację całego przedmiotu zamówienia. </w:t>
      </w:r>
    </w:p>
    <w:p>
      <w:pPr>
        <w:pStyle w:val="ListParagraph"/>
        <w:numPr>
          <w:ilvl w:val="0"/>
          <w:numId w:val="6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Cena oferty może być tylko jedna. </w:t>
      </w:r>
    </w:p>
    <w:p>
      <w:pPr>
        <w:pStyle w:val="ListParagraph"/>
        <w:numPr>
          <w:ilvl w:val="0"/>
          <w:numId w:val="6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Zamawiający przewiduje możliwość unieważnienia przedmiotowego postępowania, jeżeli cena najkorzystniejszej oferty przekroczy środki finansowe, które Zamawiający zamierzał przeznaczyć na sfinansowanie całości lub części zamówienia. 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IX. OPIS KRYTERIÓW, KTÓRYMI ZAMAWIAJĄCY BĘDZIE SIĘ KIEROWAŁ PRZY WYBORZE OFERTY WRAZ Z PODANIEM ZNACZENIA TYCH KRYTERIÓW ORAZ SPOSOBU OCENY OFERT</w:t>
      </w:r>
    </w:p>
    <w:p>
      <w:pPr>
        <w:pStyle w:val="ListParagraph"/>
        <w:numPr>
          <w:ilvl w:val="0"/>
          <w:numId w:val="5"/>
        </w:numPr>
        <w:spacing w:lineRule="auto" w:line="276" w:before="120" w:after="120"/>
        <w:ind w:left="0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Kryteria oceny ofert:</w:t>
      </w:r>
    </w:p>
    <w:p>
      <w:pPr>
        <w:pStyle w:val="ListParagraph"/>
        <w:numPr>
          <w:ilvl w:val="0"/>
          <w:numId w:val="14"/>
        </w:numPr>
        <w:spacing w:lineRule="auto" w:line="276" w:before="120" w:after="120"/>
        <w:ind w:left="360" w:right="0" w:hanging="360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Kryterium nr 1: </w:t>
      </w:r>
      <w:r>
        <w:rPr>
          <w:rFonts w:ascii="Verdana" w:hAnsi="Verdana"/>
          <w:b/>
          <w:sz w:val="18"/>
          <w:szCs w:val="18"/>
        </w:rPr>
        <w:t>cena</w:t>
      </w:r>
      <w:r>
        <w:rPr>
          <w:rFonts w:ascii="Verdana" w:hAnsi="Verdana"/>
          <w:sz w:val="18"/>
          <w:szCs w:val="18"/>
        </w:rPr>
        <w:t xml:space="preserve"> - waga kryterium 100%</w:t>
      </w:r>
    </w:p>
    <w:tbl>
      <w:tblPr>
        <w:tblW w:w="4600" w:type="pct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409"/>
        <w:gridCol w:w="3534"/>
        <w:gridCol w:w="322"/>
        <w:gridCol w:w="1698"/>
      </w:tblGrid>
      <w:tr>
        <w:trPr>
          <w:trHeight w:val="454" w:hRule="atLeast"/>
        </w:trPr>
        <w:tc>
          <w:tcPr>
            <w:tcW w:w="15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76" w:before="120" w:after="120"/>
              <w:ind w:left="0" w:right="0" w:hanging="0"/>
              <w:contextualSpacing w:val="false"/>
              <w:jc w:val="center"/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  <w:t>Ilość punktów</w:t>
            </w:r>
          </w:p>
        </w:tc>
        <w:tc>
          <w:tcPr>
            <w:tcW w:w="409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76" w:before="120" w:after="120"/>
              <w:ind w:left="0" w:right="0" w:hanging="0"/>
              <w:contextualSpacing w:val="false"/>
              <w:jc w:val="center"/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  <w:t>=</w:t>
            </w:r>
          </w:p>
        </w:tc>
        <w:tc>
          <w:tcPr>
            <w:tcW w:w="353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76" w:before="120" w:after="120"/>
              <w:ind w:left="0" w:right="0" w:hanging="0"/>
              <w:contextualSpacing w:val="false"/>
              <w:jc w:val="center"/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  <w:t>najniższa zaoferowana cena oferty</w:t>
            </w:r>
          </w:p>
        </w:tc>
        <w:tc>
          <w:tcPr>
            <w:tcW w:w="322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76" w:before="120" w:after="120"/>
              <w:ind w:left="0" w:right="0" w:hanging="0"/>
              <w:contextualSpacing w:val="false"/>
              <w:jc w:val="center"/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  <w:t>x</w:t>
            </w:r>
          </w:p>
        </w:tc>
        <w:tc>
          <w:tcPr>
            <w:tcW w:w="169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76" w:before="120" w:after="120"/>
              <w:ind w:left="0" w:right="0" w:hanging="0"/>
              <w:contextualSpacing w:val="false"/>
              <w:jc w:val="center"/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  <w:t>waga kryterium</w:t>
            </w:r>
          </w:p>
        </w:tc>
      </w:tr>
      <w:tr>
        <w:trPr>
          <w:trHeight w:val="454" w:hRule="atLeast"/>
        </w:trPr>
        <w:tc>
          <w:tcPr>
            <w:tcW w:w="1546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exact" w:line="280" w:before="0" w:after="280"/>
              <w:jc w:val="both"/>
              <w:rPr/>
            </w:pPr>
            <w:r>
              <w:rPr/>
            </w:r>
          </w:p>
        </w:tc>
        <w:tc>
          <w:tcPr>
            <w:tcW w:w="409" w:type="dxa"/>
            <w:vMerge w:val="continue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exact" w:line="280" w:before="0" w:after="280"/>
              <w:jc w:val="both"/>
              <w:rPr/>
            </w:pPr>
            <w:r>
              <w:rPr/>
            </w:r>
          </w:p>
        </w:tc>
        <w:tc>
          <w:tcPr>
            <w:tcW w:w="3534" w:type="dxa"/>
            <w:tcBorders>
              <w:bottom w:val="single" w:sz="2" w:space="0" w:color="000000"/>
            </w:tcBorders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76" w:before="120" w:after="120"/>
              <w:ind w:left="0" w:right="0" w:hanging="0"/>
              <w:contextualSpacing w:val="false"/>
              <w:jc w:val="center"/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</w:pPr>
            <w:r>
              <w:rPr>
                <w:rFonts w:ascii="Verdana" w:hAnsi="Verdana"/>
                <w:kern w:val="0"/>
                <w:sz w:val="18"/>
                <w:szCs w:val="18"/>
                <w:lang w:val="pl-PL" w:eastAsia="en-US" w:bidi="ar-SA"/>
              </w:rPr>
              <w:t>cena zaoferowana w badanej ofercie</w:t>
            </w:r>
          </w:p>
        </w:tc>
        <w:tc>
          <w:tcPr>
            <w:tcW w:w="322" w:type="dxa"/>
            <w:vMerge w:val="continue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exact" w:line="280" w:before="0" w:after="280"/>
              <w:jc w:val="both"/>
              <w:rPr/>
            </w:pPr>
            <w:r>
              <w:rPr/>
            </w:r>
          </w:p>
        </w:tc>
        <w:tc>
          <w:tcPr>
            <w:tcW w:w="1698" w:type="dxa"/>
            <w:vMerge w:val="continue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exact" w:line="280" w:before="0" w:after="280"/>
              <w:jc w:val="both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8"/>
          <w:tab w:val="left" w:pos="426" w:leader="none"/>
        </w:tabs>
        <w:spacing w:lineRule="auto" w:line="276" w:before="120" w:after="120"/>
        <w:ind w:left="708" w:right="0" w:hanging="0"/>
        <w:rPr>
          <w:rFonts w:eastAsia="Calibri" w:cs="Tahoma"/>
          <w:b/>
          <w:b/>
          <w:bCs/>
          <w:color w:val="auto"/>
          <w:sz w:val="18"/>
          <w:szCs w:val="18"/>
        </w:rPr>
      </w:pPr>
      <w:r>
        <w:rPr>
          <w:rFonts w:eastAsia="Calibri" w:cs="Tahoma"/>
          <w:b/>
          <w:bCs/>
          <w:color w:val="auto"/>
          <w:sz w:val="18"/>
          <w:szCs w:val="18"/>
        </w:rPr>
        <w:t>Maksymalna ilość zdobytych punktów (C): 100</w:t>
      </w:r>
    </w:p>
    <w:p>
      <w:pPr>
        <w:pStyle w:val="Normal"/>
        <w:tabs>
          <w:tab w:val="clear" w:pos="708"/>
          <w:tab w:val="left" w:pos="426" w:leader="none"/>
        </w:tabs>
        <w:spacing w:lineRule="auto" w:line="276" w:before="120" w:after="120"/>
        <w:ind w:left="708" w:right="0" w:hanging="0"/>
        <w:rPr>
          <w:rFonts w:eastAsia="Calibri" w:cs="Tahoma"/>
          <w:b/>
          <w:b/>
          <w:bCs/>
          <w:color w:val="auto"/>
          <w:sz w:val="18"/>
          <w:szCs w:val="18"/>
        </w:rPr>
      </w:pPr>
      <w:r>
        <w:rPr>
          <w:rFonts w:eastAsia="Calibri" w:cs="Tahoma"/>
          <w:b/>
          <w:bCs/>
          <w:color w:val="auto"/>
          <w:sz w:val="18"/>
          <w:szCs w:val="18"/>
        </w:rPr>
      </w:r>
    </w:p>
    <w:p>
      <w:pPr>
        <w:pStyle w:val="Normal"/>
        <w:tabs>
          <w:tab w:val="clear" w:pos="708"/>
          <w:tab w:val="left" w:pos="426" w:leader="none"/>
        </w:tabs>
        <w:spacing w:lineRule="auto" w:line="276" w:before="120" w:after="120"/>
        <w:ind w:left="708" w:right="0" w:hanging="0"/>
        <w:rPr>
          <w:rFonts w:eastAsia="Calibri" w:cs="Tahoma"/>
          <w:b/>
          <w:b/>
          <w:bCs/>
          <w:color w:val="auto"/>
          <w:sz w:val="18"/>
          <w:szCs w:val="18"/>
        </w:rPr>
      </w:pPr>
      <w:r>
        <w:rPr>
          <w:rFonts w:eastAsia="Calibri" w:cs="Tahoma"/>
          <w:b/>
          <w:bCs/>
          <w:color w:val="auto"/>
          <w:sz w:val="18"/>
          <w:szCs w:val="18"/>
        </w:rPr>
        <w:t>{{ TABLE:Tabelka }}</w:t>
      </w:r>
    </w:p>
    <w:p>
      <w:pPr>
        <w:pStyle w:val="Normal"/>
        <w:tabs>
          <w:tab w:val="clear" w:pos="708"/>
          <w:tab w:val="left" w:pos="426" w:leader="none"/>
        </w:tabs>
        <w:spacing w:lineRule="auto" w:line="276" w:before="120" w:after="120"/>
        <w:ind w:left="708" w:right="0" w:hanging="0"/>
        <w:rPr>
          <w:rFonts w:eastAsia="Calibri" w:cs="Tahoma"/>
          <w:b/>
          <w:b/>
          <w:bCs/>
          <w:color w:val="auto"/>
          <w:sz w:val="18"/>
          <w:szCs w:val="18"/>
        </w:rPr>
      </w:pPr>
      <w:r>
        <w:rPr>
          <w:rFonts w:eastAsia="Calibri" w:cs="Tahoma"/>
          <w:b/>
          <w:bCs/>
          <w:color w:val="auto"/>
          <w:sz w:val="18"/>
          <w:szCs w:val="18"/>
        </w:rPr>
      </w:r>
    </w:p>
    <w:p>
      <w:pPr>
        <w:pStyle w:val="ListParagraph"/>
        <w:numPr>
          <w:ilvl w:val="0"/>
          <w:numId w:val="14"/>
        </w:numPr>
        <w:tabs>
          <w:tab w:val="clear" w:pos="708"/>
          <w:tab w:val="left" w:pos="426" w:leader="none"/>
        </w:tabs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 w:cs="Tahoma"/>
          <w:b/>
          <w:b/>
          <w:bCs/>
          <w:sz w:val="18"/>
          <w:szCs w:val="18"/>
        </w:rPr>
      </w:pPr>
      <w:r>
        <w:rPr>
          <w:rFonts w:cs="Tahoma" w:ascii="Verdana" w:hAnsi="Verdana"/>
          <w:b/>
          <w:bCs/>
          <w:sz w:val="18"/>
          <w:szCs w:val="18"/>
        </w:rPr>
        <w:t xml:space="preserve">Zdobyta ilość punktów = C </w:t>
      </w:r>
    </w:p>
    <w:p>
      <w:pPr>
        <w:pStyle w:val="ListParagraph"/>
        <w:numPr>
          <w:ilvl w:val="0"/>
          <w:numId w:val="14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Zamawiający zastrzega możliwość wykluczenia Oferenta z powodu zaproponowania rażąco niskiej ceny za realizację przedmiotu zamówienia. Tj. w sytuacji, w której cena oferty wydaje się być rażąco niska w stosunku do przedmiotu zamówienia i budzi wątpliwości Zamawiającego co do możliwości wykonania przedmiotu zamówienia zgodnie z wymaganiami określonymi przez Zamawiającego, w szczególności jest niższa o 30% od średniej arytmetycznej cen wszystkich złożonych ofert niepodlegających odrzuceniu. Zamawiający w celu ustalenia, czy oferta zawiera rażąco niską cenę w stosunku do przedmiotu zamówienia, zwróci się do Oferenta o udzielenie w określonym terminie wyjaśnień dotyczących elementów oferty mających wpływ na wysokość ceny. Zamawiający, oceniając wyjaśnienia, weźmie pod uwagę obiektywne czynniki. Zamawiający odrzuci ofertę Oferenta, który nie złożył wyjaśnień, nie złoży ich w wyznaczonym do tego terminie lub jeżeli dokonana ocena wyjaśnień wraz z dostarczonymi dowodami potwierdza, że oferta zawiera rażąco niską cenę w stosunku do przedmiotu zamówienia. Obowiązek wykazania, że oferta nie zawiera rażąco niskiej ceny, spoczywa na Oferencie.</w:t>
      </w:r>
    </w:p>
    <w:p>
      <w:pPr>
        <w:pStyle w:val="ListParagraph"/>
        <w:spacing w:lineRule="auto" w:line="276" w:before="120" w:after="120"/>
        <w:ind w:left="360" w:right="0" w:hanging="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X. SPOSÓB PRZYGOTOWANIA OFERTY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Ofertę należy sporządzić w formie pisemnej w języku polskim, w sposób czytelny i przejrzysty.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Dokumenty sporządzone w języku obcym należy złożyć wraz z tłumaczeniem na język polski, poświadczonym przez Wykonawcę.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Ofertę należy złożyć na druku „Formularz Ofertowy”, według wzoru stanowiącego </w:t>
      </w:r>
      <w:r>
        <w:rPr>
          <w:rFonts w:ascii="Verdana" w:hAnsi="Verdana"/>
          <w:b/>
          <w:sz w:val="18"/>
          <w:szCs w:val="18"/>
        </w:rPr>
        <w:t>Załącznik nr 2</w:t>
      </w:r>
      <w:r>
        <w:rPr>
          <w:rFonts w:ascii="Verdana" w:hAnsi="Verdana"/>
          <w:sz w:val="18"/>
          <w:szCs w:val="18"/>
        </w:rPr>
        <w:t xml:space="preserve"> do zapytania ofertowego.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„</w:t>
      </w:r>
      <w:r>
        <w:rPr>
          <w:rFonts w:ascii="Verdana" w:hAnsi="Verdana"/>
          <w:sz w:val="18"/>
          <w:szCs w:val="18"/>
        </w:rPr>
        <w:t xml:space="preserve">Formularz Ofertowy” należy wypełnić przy użyciu nośnika pisma nie ulegającego usunięciu bez pozostawienia śladu np.: komputerowo, długopisem, cienkopisem, piórem lub za pomocą maszyny do pisania.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Wszelkie poprawki w Ofercie winny być dokonywane poprzez skreślenie omyłki oraz postawienie obok korekty parafki osoby lub osób podpisujących Ofertę. Nie dopuszcza się możliwości dokonywania poprawek omyłek w tekście oferty przy użyciu korektora lub odrębnymi pismami dołączonymi do Oferty. W celu wyeliminowania ewentualnych wątpliwości co do treści Oferty oraz zapewnienia jej czytelności i przejrzystości wskazane jest, by w przypadku wystąpienia omyłki, formularz Oferty ponownie skopiować i wypełnić tak, aby nie było w nim jakichkolwiek poprawek, zmian, korekt itp.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Nie dopuszcza się możliwości nanoszenia przez Wykonawcę jakichkolwiek zmian merytorycznych na uprzednio przygotowaną treść oferty.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Wykonawca może złożyć jedną ofertę (tylko z jedną ostateczną ceną); złożenie przez Wykonawcę więcej niż jednej oferty lub oferty zawierającej rozwiązania alternatywne lub wariantowe (w tym tzw. oferty wariantowej) – spowoduje odrzucenie ofert złożonych przez tego Wykonawcę. Wykonawcy wspólnie ubiegający się o zamówienie składają jedną wspólną ofertę.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Oferta musi być podpisana (również opieczętowana) przez osobę(y) uprawnioną(e) oraz oznaczona co do nazwy i adresu wykonawcy np. przez opatrzenie oferty pieczęcią firmową. Przez osobę(y) uprawnioną(e) należy rozumieć odpowiednio: </w:t>
      </w:r>
    </w:p>
    <w:p>
      <w:pPr>
        <w:pStyle w:val="ListParagraph"/>
        <w:numPr>
          <w:ilvl w:val="1"/>
          <w:numId w:val="8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osobę(y), która(e) zgodnie z aktem rejestracyjnym, wymaganiami ustawowymi oraz odpowiednimi przepisami jest(są) uprawniona(e) do reprezentowania Wykonawcy, w obrocie gospodarczym;</w:t>
      </w:r>
    </w:p>
    <w:p>
      <w:pPr>
        <w:pStyle w:val="ListParagraph"/>
        <w:numPr>
          <w:ilvl w:val="1"/>
          <w:numId w:val="8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pełnomocnika lub pełnomocników Wykonawcy, którym pełnomocnictwa udzieliła(y) osoba(y), o której(ych) mowa wyżej; </w:t>
      </w:r>
    </w:p>
    <w:p>
      <w:pPr>
        <w:pStyle w:val="ListParagraph"/>
        <w:numPr>
          <w:ilvl w:val="1"/>
          <w:numId w:val="8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pełnomocnika ustanowionego przez Wykonawców wspólnie ubiegających się o udzielenie zamówienia do reprezentowania ich w postępowaniu o udzielenie zamówienia.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W przypadku podpisania Oferty lub dokumentów do niej załączonych przez osobę(y) upełnomocnioną(e), </w:t>
      </w:r>
      <w:r>
        <w:rPr>
          <w:rFonts w:ascii="Verdana" w:hAnsi="Verdana"/>
          <w:sz w:val="18"/>
          <w:szCs w:val="18"/>
          <w:u w:val="single"/>
        </w:rPr>
        <w:t>należy pod rygorem odrzucenia oferty dołączyć do niej odpowiednie pełnomocnictwo w formie oryginału bądź kopii potwierdzonej za zgodność z oryginałem</w:t>
      </w:r>
      <w:r>
        <w:rPr>
          <w:rFonts w:ascii="Verdana" w:hAnsi="Verdana"/>
          <w:sz w:val="18"/>
          <w:szCs w:val="18"/>
        </w:rPr>
        <w:t xml:space="preserve">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 xml:space="preserve">Do Oferty muszą być załączone wszystkie dokumenty wymagane odpowiednimi postanowieniami zapytania ofertowego oraz przedstawionymi przez Zamawiającego wzorami – załącznikami, a w szczególności zawierać wszystkie informacje i dane.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b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Ofertę należy złożyć z pośrednictwem Bazy Konkurencyjności. Oferta wraz z załącznikami powinna być podpisana podpisem kwalifikowanym, zaufanym, osobistym, Zamawiający dopuszcza, również przesłanie oferty w formie skanu z odręcznym podpisem osoby upoważnionej.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Wykonawcy wspólnie ubiegający się o udzielenie zamówienia, ustanawiają pełnomocnika do reprezentowania ich w postępowaniu o udzielenie zamówienia albo reprezentowania ich w postępowaniu i zawarcia Umowy w sprawie realizacji zamówienia. Oferta powinna być podpisana przez ustanowionego pełnomocnika. Do oferty należy dołączyć dokument pełnomocnictwa.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Podmioty występujące wspólnie ponoszą solidarną odpowiedzialność za niewykonanie lub nienależyte wykonanie zamówienia.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Jeżeli oferta Wykonawców wspólnie ubiegających się o udzielenie zamówienia zostanie wybrana, Zamawiający może żądać przed zawarciem Umowy w sprawie realizacji przedmiotowego zamówienia, okazania umowy regulującej współpracę tych Wykonawców. </w:t>
      </w:r>
    </w:p>
    <w:p>
      <w:pPr>
        <w:pStyle w:val="ListParagraph"/>
        <w:numPr>
          <w:ilvl w:val="0"/>
          <w:numId w:val="8"/>
        </w:numPr>
        <w:tabs>
          <w:tab w:val="clear" w:pos="708"/>
          <w:tab w:val="left" w:pos="993" w:leader="none"/>
        </w:tabs>
        <w:spacing w:lineRule="auto" w:line="276" w:before="120" w:after="120"/>
        <w:ind w:left="426" w:right="0" w:hanging="426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Do uzupełnionego i podpisanego przez Wykonawcę „Formularza Ofertowego” należy dołączyć uzupełnione i podpisane przez Wykonawcę Oświadczenie o braku powiązań kapitałowych lub osobowych pomiędzy Wykonawcą a Zamawiającym, według wzoru stanowiącego </w:t>
      </w:r>
      <w:r>
        <w:rPr>
          <w:rFonts w:ascii="Verdana" w:hAnsi="Verdana"/>
          <w:b/>
          <w:sz w:val="18"/>
          <w:szCs w:val="18"/>
        </w:rPr>
        <w:t>Załącznik nr 3</w:t>
      </w:r>
      <w:r>
        <w:rPr>
          <w:rFonts w:ascii="Verdana" w:hAnsi="Verdana"/>
          <w:sz w:val="18"/>
          <w:szCs w:val="18"/>
        </w:rPr>
        <w:t xml:space="preserve"> do zapytania ofertowego.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Wykonawca może wprowadzić zmiany lub wycofać Ofertę. Zmiany lub wycofanie złożonej Oferty są skuteczne tylko w przypadku, gdy zostały złożone przed upływem terminu składania Ofert.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Zmiany, poprawki lub modyfikacje złożonej Oferty winny być złożone w miejscu i według zasad obowiązujących przy składaniu Ofert. Odpowiednio opisaną ofertę zawierającą zmiany należy dodatkowo opatrzyć dopiskiem „ZMIANA”. 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Wycofanie złożonej Oferty może nastąpić tylko w przypadku złożenia pisemnego powiadomienia o wycofaniu Oferty z postępowania ofertowego. Odpowiednio opisane oświadczenie zawierające powiadomienie należy dodatkowo opatrzyć dopiskiem „WYCOFANIE”.</w:t>
      </w:r>
    </w:p>
    <w:p>
      <w:pPr>
        <w:pStyle w:val="ListParagraph"/>
        <w:numPr>
          <w:ilvl w:val="0"/>
          <w:numId w:val="8"/>
        </w:numPr>
        <w:spacing w:lineRule="auto" w:line="276" w:before="120" w:after="120"/>
        <w:ind w:left="426" w:right="0" w:hanging="426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Zamawiający może w toku oceny i badania Ofert żądać od Wykonawców uczestniczących w postępowaniu ofertowym uzupełnienia Oferty lub dodatkowych wyjaśnień dotyczących treści złożonych Ofert – uzupełnienie Oferty Wykonawca zobowiązany jest złożyć w formie pisemnej. Wyjaśnienia Wykonawca zobowiązany jest złożyć w formie pisemnej lub pocztą elektroniczną. 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XII. OTWARCIE OFERT</w:t>
      </w:r>
    </w:p>
    <w:p>
      <w:pPr>
        <w:pStyle w:val="ListParagraph"/>
        <w:numPr>
          <w:ilvl w:val="0"/>
          <w:numId w:val="9"/>
        </w:numPr>
        <w:spacing w:lineRule="auto" w:line="276" w:before="120" w:after="120"/>
        <w:ind w:left="405" w:right="0" w:hanging="405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Otwarcie Ofert nastąpi w dniu </w:t>
      </w:r>
      <w:r>
        <w:rPr>
          <w:rFonts w:ascii="Verdana" w:hAnsi="Verdana"/>
          <w:b/>
          <w:bCs/>
          <w:sz w:val="18"/>
          <w:szCs w:val="18"/>
        </w:rPr>
        <w:t>{{ DATE:Data_Otwarcie }}</w:t>
      </w:r>
      <w:r>
        <w:rPr>
          <w:rFonts w:ascii="Verdana" w:hAnsi="Verdana"/>
          <w:b/>
          <w:sz w:val="18"/>
          <w:szCs w:val="18"/>
        </w:rPr>
        <w:t xml:space="preserve"> o godzinie {{ TEXT:Godzina_Otwarcie }}.</w:t>
      </w:r>
      <w:r>
        <w:rPr>
          <w:rFonts w:ascii="Verdana" w:hAnsi="Verdana"/>
          <w:sz w:val="18"/>
          <w:szCs w:val="18"/>
        </w:rPr>
        <w:t xml:space="preserve"> </w:t>
      </w:r>
    </w:p>
    <w:p>
      <w:pPr>
        <w:pStyle w:val="ListParagraph"/>
        <w:numPr>
          <w:ilvl w:val="0"/>
          <w:numId w:val="9"/>
        </w:numPr>
        <w:spacing w:lineRule="auto" w:line="276" w:before="120" w:after="120"/>
        <w:ind w:left="405" w:right="0" w:hanging="405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Informacja o wyniku przeprowadzonego postępowania ofertowego zostanie przekazana Wykonawcom, którzy złożyli Oferty w przedmiotowym postępowaniu, za pomocą bazy konkurencyjności dostępnej pod adresem: </w:t>
      </w:r>
      <w:hyperlink r:id="rId7">
        <w:r>
          <w:rPr>
            <w:rStyle w:val="InternetLink"/>
            <w:rFonts w:ascii="Verdana" w:hAnsi="Verdana"/>
            <w:sz w:val="18"/>
            <w:szCs w:val="18"/>
          </w:rPr>
          <w:t>https://bazakonkurencyjnosci.funduszeeuropejskie.gov.pl/</w:t>
        </w:r>
      </w:hyperlink>
      <w:r>
        <w:rPr>
          <w:rFonts w:ascii="Verdana" w:hAnsi="Verdana"/>
          <w:sz w:val="18"/>
          <w:szCs w:val="18"/>
        </w:rPr>
        <w:t xml:space="preserve">, niezwłocznie po zakończeniu procedury oceny i badania Ofert i wyborze najkorzystniejszej Oferty. </w:t>
      </w:r>
    </w:p>
    <w:p>
      <w:pPr>
        <w:pStyle w:val="ListParagraph"/>
        <w:numPr>
          <w:ilvl w:val="0"/>
          <w:numId w:val="9"/>
        </w:numPr>
        <w:spacing w:lineRule="auto" w:line="276" w:before="120" w:after="120"/>
        <w:ind w:left="405" w:right="0" w:hanging="405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Zamawiający odrzuci Ofertę jeżeli: </w:t>
      </w:r>
    </w:p>
    <w:p>
      <w:pPr>
        <w:pStyle w:val="ListParagraph"/>
        <w:numPr>
          <w:ilvl w:val="1"/>
          <w:numId w:val="9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jej treść nie odpowiada treści zapytania ofertowego oraz jego załączników; </w:t>
      </w:r>
    </w:p>
    <w:p>
      <w:pPr>
        <w:pStyle w:val="ListParagraph"/>
        <w:numPr>
          <w:ilvl w:val="1"/>
          <w:numId w:val="9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zawiera błędy w obliczeniu ceny; </w:t>
      </w:r>
    </w:p>
    <w:p>
      <w:pPr>
        <w:pStyle w:val="ListParagraph"/>
        <w:numPr>
          <w:ilvl w:val="1"/>
          <w:numId w:val="9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nie zawiera wymaganych zapytaniem ofertowym danych, informacji, dokumentów itp.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XIII. OKRES ZWIĄZANIA OFERTĄ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Wykonawca jest związany ofertą przez okres 30 dni liczonych od dnia upływu terminu na złożenie Ofert.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XIV. OSOBY UPRAWNIONE DO POROZUMIEWANIA SIĘ Z WYKONAWCAMI</w:t>
      </w:r>
    </w:p>
    <w:p>
      <w:pPr>
        <w:pStyle w:val="Normal"/>
        <w:spacing w:lineRule="auto" w:line="276" w:before="120" w:after="120"/>
        <w:rPr/>
      </w:pPr>
      <w:r>
        <w:rPr>
          <w:sz w:val="18"/>
          <w:szCs w:val="18"/>
        </w:rPr>
        <w:t xml:space="preserve">Osobą upoważnioną ze strony Zamawiającego do kontaktowania się z Wykonawcami i udzielania wyjaśnień w imieniu Zamawiającego jest: Adrian Napora, </w:t>
        <w:br/>
        <w:t xml:space="preserve">adres e-mail: </w:t>
      </w:r>
      <w:hyperlink r:id="rId8">
        <w:r>
          <w:rPr>
            <w:rStyle w:val="InternetLink"/>
            <w:sz w:val="18"/>
            <w:szCs w:val="18"/>
          </w:rPr>
          <w:t>adrian.napora@port.lukasiewicz.gov.pl</w:t>
        </w:r>
      </w:hyperlink>
      <w:r>
        <w:rPr>
          <w:sz w:val="18"/>
          <w:szCs w:val="18"/>
        </w:rPr>
        <w:t xml:space="preserve">. 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XV. INFORMACJA O SPOSOBIE POROZUMIEWANIA SIĘ ZAMAWIAJĄCEGO Z WYKONAWCAMI</w:t>
      </w:r>
    </w:p>
    <w:p>
      <w:pPr>
        <w:pStyle w:val="ListParagraph"/>
        <w:numPr>
          <w:ilvl w:val="0"/>
          <w:numId w:val="10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Wykonawca może zwrócić się do Zamawiającego o wyjaśnienia dotyczące zapytania ofertowego. </w:t>
      </w:r>
    </w:p>
    <w:p>
      <w:pPr>
        <w:pStyle w:val="ListParagraph"/>
        <w:numPr>
          <w:ilvl w:val="0"/>
          <w:numId w:val="10"/>
        </w:numPr>
        <w:spacing w:lineRule="auto" w:line="276" w:before="120" w:after="120"/>
        <w:ind w:left="284" w:right="0" w:hanging="284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 xml:space="preserve">Zapytania mogą być składane tylko i wyłącznie za pośrednictwem Bazy Konkurencyjności dostępnej pod adresem </w:t>
      </w:r>
      <w:hyperlink r:id="rId9">
        <w:r>
          <w:rPr>
            <w:rStyle w:val="InternetLink"/>
            <w:rFonts w:ascii="Verdana" w:hAnsi="Verdana"/>
            <w:sz w:val="18"/>
            <w:szCs w:val="18"/>
          </w:rPr>
          <w:t>https://bazakonkurencyjnosci.funduszeeuropejskie.gov.pl/</w:t>
        </w:r>
      </w:hyperlink>
      <w:r>
        <w:rPr>
          <w:rFonts w:ascii="Verdana" w:hAnsi="Verdana"/>
          <w:sz w:val="18"/>
          <w:szCs w:val="18"/>
        </w:rPr>
        <w:t xml:space="preserve"> </w:t>
      </w:r>
    </w:p>
    <w:p>
      <w:pPr>
        <w:pStyle w:val="ListParagraph"/>
        <w:numPr>
          <w:ilvl w:val="0"/>
          <w:numId w:val="10"/>
        </w:numPr>
        <w:spacing w:lineRule="auto" w:line="276" w:before="120" w:after="120"/>
        <w:ind w:left="284" w:right="0" w:hanging="284"/>
        <w:contextualSpacing w:val="false"/>
        <w:jc w:val="both"/>
        <w:rPr/>
      </w:pPr>
      <w:r>
        <w:rPr>
          <w:rFonts w:ascii="Verdana" w:hAnsi="Verdana"/>
          <w:sz w:val="18"/>
          <w:szCs w:val="18"/>
        </w:rPr>
        <w:t>Zamawiający udzieli odpowiedzi na wszelkie zapytania związane z prowadzonym postępowaniem ofertowym, i umieści je na stronie postępowania prowadzonego na Bazie Konkurencyjności, bez wskazania źródła zapytania, pod warunkiem, że zapytanie zostanie skierowane i doręczone Zamawiającemu w terminie nie późniejszym niż do 5 dni przed upływem terminu składania ofert.</w:t>
      </w:r>
    </w:p>
    <w:p>
      <w:pPr>
        <w:pStyle w:val="ListParagraph"/>
        <w:numPr>
          <w:ilvl w:val="0"/>
          <w:numId w:val="10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 szczególnie uzasadnionych przypadkach, Zamawiający może przed upływem terminu składania ofert zmienić treść zapytania ofertowego. </w:t>
      </w:r>
    </w:p>
    <w:p>
      <w:pPr>
        <w:pStyle w:val="ListParagraph"/>
        <w:numPr>
          <w:ilvl w:val="0"/>
          <w:numId w:val="10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 każdej takiej zmianie Zamawiający poinformuje niezwłocznie na stronie postępowania prowadzonego za pośrednictwem Bazy Konkurencyjności. </w:t>
      </w:r>
    </w:p>
    <w:p>
      <w:pPr>
        <w:pStyle w:val="ListParagraph"/>
        <w:numPr>
          <w:ilvl w:val="0"/>
          <w:numId w:val="10"/>
        </w:numPr>
        <w:spacing w:lineRule="auto" w:line="276" w:before="120" w:after="120"/>
        <w:ind w:left="284" w:right="0" w:hanging="284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 przypadku, gdy zmiana powodować będzie konieczność modyfikacji Oferty, Zamawiający przedłuży termin składania Ofert. W takim przypadku wszelkie prawa i zobowiązania – Wykonawcy i Zamawiającego – będą podlegały nowemu terminowi.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XVI. INNE WARUNKI REALIZACJI PRZEDMIOTU ZAMÓWIENIA</w:t>
      </w:r>
    </w:p>
    <w:p>
      <w:pPr>
        <w:pStyle w:val="ListParagraph"/>
        <w:numPr>
          <w:ilvl w:val="0"/>
          <w:numId w:val="12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Wykonawcy zobowiązani są do zawarcia umowy wg. wzoru stanowiącego </w:t>
        <w:br/>
        <w:t>Załącznik nr 5 do zapytania.</w:t>
      </w:r>
    </w:p>
    <w:p>
      <w:pPr>
        <w:pStyle w:val="ListParagraph"/>
        <w:numPr>
          <w:ilvl w:val="0"/>
          <w:numId w:val="12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Dopuszcza się możliwość wprowadzenia istotnych zmian postanowień zawartej umowy w stosunku do treści oferty Wykonawcy na podstawie której dokonano wyboru Wykonawcy. Dopuszczalne będą zmiany, dotyczące w szczególności: </w:t>
      </w:r>
    </w:p>
    <w:p>
      <w:pPr>
        <w:pStyle w:val="ListParagraph"/>
        <w:numPr>
          <w:ilvl w:val="1"/>
          <w:numId w:val="8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zmiany jakichkolwiek rozporządzeń i przepisów i innych dokumentów, w tym dokumentów programowych POIR, mających wpływ na realizację umowy. </w:t>
      </w:r>
    </w:p>
    <w:p>
      <w:pPr>
        <w:pStyle w:val="ListParagraph"/>
        <w:numPr>
          <w:ilvl w:val="1"/>
          <w:numId w:val="8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zmiany terminu realizacji przedmiotu zamówienia na żądanie Zamawiającego lub z przyczyn niezależnych lub usprawiedliwionych przez Wykonawcę. </w:t>
      </w:r>
    </w:p>
    <w:p>
      <w:pPr>
        <w:pStyle w:val="ListParagraph"/>
        <w:numPr>
          <w:ilvl w:val="1"/>
          <w:numId w:val="8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zmiany terminu płatności, </w:t>
      </w:r>
    </w:p>
    <w:p>
      <w:pPr>
        <w:pStyle w:val="ListParagraph"/>
        <w:numPr>
          <w:ilvl w:val="1"/>
          <w:numId w:val="8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aktualizację danych Wykonawcy, Leasingodawcy i Zamawiającego poprzez: zmianę nazwy firmy, zmianę adresu siedziby, zmianę formy prawnej itp. </w:t>
      </w:r>
    </w:p>
    <w:p>
      <w:pPr>
        <w:pStyle w:val="ListParagraph"/>
        <w:numPr>
          <w:ilvl w:val="0"/>
          <w:numId w:val="12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Warunki dokonania zmian: </w:t>
      </w:r>
    </w:p>
    <w:p>
      <w:pPr>
        <w:pStyle w:val="ListParagraph"/>
        <w:numPr>
          <w:ilvl w:val="1"/>
          <w:numId w:val="12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wszelkie zmiany i uzupełnienia do umowy zawartej z wybranym Wykonawcą muszą być dokonywane w formie pisemnych aneksów do umowy podpisanych przez strony, pod rygorem nieważności. </w:t>
      </w:r>
    </w:p>
    <w:p>
      <w:pPr>
        <w:pStyle w:val="ListParagraph"/>
        <w:numPr>
          <w:ilvl w:val="1"/>
          <w:numId w:val="12"/>
        </w:numPr>
        <w:spacing w:lineRule="auto" w:line="276" w:before="120" w:after="120"/>
        <w:ind w:left="786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strona występująca o zmianę postanowień umowy zobowiązana jest do złożenia pisemnego wniosku o zmianę postanowień umowy, o czym informuje pozostałe strony umowy.</w:t>
      </w:r>
    </w:p>
    <w:p>
      <w:pPr>
        <w:pStyle w:val="ListParagraph"/>
        <w:numPr>
          <w:ilvl w:val="0"/>
          <w:numId w:val="12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Wykonanie całego przedmiotu zamówienia potwierdzone zostanie protokołem zdawczoodbiorczym.</w:t>
      </w:r>
    </w:p>
    <w:p>
      <w:pPr>
        <w:pStyle w:val="Normal"/>
        <w:spacing w:lineRule="auto" w:line="276" w:before="120" w:after="120"/>
        <w:rPr>
          <w:rFonts w:cs="Roboto Lt"/>
          <w:color w:val="000000"/>
          <w:sz w:val="18"/>
          <w:szCs w:val="18"/>
        </w:rPr>
      </w:pPr>
      <w:r>
        <w:rPr>
          <w:rFonts w:cs="Roboto Lt"/>
          <w:color w:val="000000"/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fill="D9D9D9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  <w:t>XVII. WYKAZ ZAŁĄCZNIKÓW</w:t>
      </w:r>
    </w:p>
    <w:p>
      <w:pPr>
        <w:pStyle w:val="ListParagraph"/>
        <w:numPr>
          <w:ilvl w:val="0"/>
          <w:numId w:val="13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Załącznik nr 1 - Opis Przedmiotu Zamówienia.</w:t>
      </w:r>
    </w:p>
    <w:p>
      <w:pPr>
        <w:pStyle w:val="ListParagraph"/>
        <w:numPr>
          <w:ilvl w:val="0"/>
          <w:numId w:val="13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Załącznik nr 2 - Formularz Ofertowy.</w:t>
      </w:r>
    </w:p>
    <w:p>
      <w:pPr>
        <w:pStyle w:val="ListParagraph"/>
        <w:numPr>
          <w:ilvl w:val="0"/>
          <w:numId w:val="13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Załącznik nr 3 - Oświadczenie o braku powiązań kapitałowych lub osobowych pomiędzy Wykonawcą a Zamawiającym. </w:t>
      </w:r>
    </w:p>
    <w:p>
      <w:pPr>
        <w:pStyle w:val="ListParagraph"/>
        <w:numPr>
          <w:ilvl w:val="0"/>
          <w:numId w:val="13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Załącznik nr 4 – Wzór umowy. </w:t>
      </w:r>
    </w:p>
    <w:p>
      <w:pPr>
        <w:pStyle w:val="ListParagraph"/>
        <w:numPr>
          <w:ilvl w:val="0"/>
          <w:numId w:val="13"/>
        </w:numPr>
        <w:spacing w:lineRule="auto" w:line="276" w:before="120" w:after="120"/>
        <w:ind w:left="360" w:right="0" w:hanging="360"/>
        <w:contextualSpacing w:val="false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Załącznik nr 6 – RODO.</w:t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276" w:before="120" w:after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276" w:before="120" w:after="120"/>
        <w:ind w:left="4248" w:right="0" w:hanging="0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………………………………………………………………</w:t>
      </w:r>
    </w:p>
    <w:p>
      <w:pPr>
        <w:pStyle w:val="Normal"/>
        <w:spacing w:lineRule="auto" w:line="276" w:before="120" w:after="120"/>
        <w:ind w:left="4248" w:right="0" w:hanging="0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(Podpis Kierownika Zamawiającego </w:t>
        <w:br/>
        <w:t>lub osoby upoważnionej)</w:t>
      </w:r>
    </w:p>
    <w:p>
      <w:pPr>
        <w:pStyle w:val="Normal"/>
        <w:spacing w:lineRule="auto" w:line="276" w:before="120" w:after="120"/>
        <w:ind w:left="4248" w:right="0" w:hanging="0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{{ QR:Link }}</w:t>
      </w:r>
    </w:p>
    <w:p>
      <w:pPr>
        <w:pStyle w:val="Normal"/>
        <w:spacing w:lineRule="auto" w:line="276" w:before="120" w:after="120"/>
        <w:ind w:left="4248" w:right="0" w:hanging="0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"/>
        <w:spacing w:lineRule="auto" w:line="276" w:before="120" w:after="120"/>
        <w:ind w:left="4248" w:right="0" w:hanging="0"/>
        <w:jc w:val="center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"/>
        <w:spacing w:lineRule="auto" w:line="276" w:before="120" w:after="120"/>
        <w:jc w:val="left"/>
        <w:rPr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Sporządził: {{ TEXT:Sporzadzil }} </w:t>
      </w:r>
    </w:p>
    <w:p>
      <w:pPr>
        <w:sectPr>
          <w:headerReference w:type="default" r:id="rId10"/>
          <w:footerReference w:type="default" r:id="rId11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2722" w:right="1021" w:gutter="0" w:header="2325" w:top="2608" w:footer="1247" w:bottom="3232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76" w:before="120" w:after="120"/>
        <w:jc w:val="left"/>
        <w:rPr>
          <w:i/>
          <w:i/>
          <w:iCs/>
          <w:sz w:val="18"/>
          <w:szCs w:val="18"/>
        </w:rPr>
      </w:pPr>
      <w:r>
        <w:rPr/>
        <w:t>To jest test dla nowej sekcji</w:t>
      </w:r>
    </w:p>
    <w:sectPr>
      <w:footnotePr>
        <w:numFmt w:val="decimal"/>
      </w:footnotePr>
      <w:endnotePr>
        <w:numFmt w:val="lowerRoman"/>
      </w:endnotePr>
      <w:type w:val="continuous"/>
      <w:pgSz w:w="11906" w:h="16838"/>
      <w:pgMar w:left="2722" w:right="1021" w:gutter="0" w:header="2325" w:top="2608" w:footer="1247" w:bottom="3232"/>
      <w:formProt w:val="false"/>
      <w:textDirection w:val="lrTb"/>
      <w:docGrid w:type="default" w:linePitch="36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spacing w:before="0" w:after="280"/>
        <w:rPr/>
      </w:pPr>
      <w:r>
        <w:rPr>
          <w:rStyle w:val="EndnoteCharacters"/>
        </w:rPr>
        <w:endnoteRef/>
      </w:r>
      <w:r>
        <w:rPr/>
        <w:tab/>
        <w:t xml:space="preserve">To </w:t>
      </w:r>
      <w:r>
        <w:rPr>
          <w:b/>
          <w:bCs/>
        </w:rPr>
        <w:t>jest</w:t>
      </w:r>
      <w:r>
        <w:rPr/>
        <w:t xml:space="preserve"> test dla </w:t>
      </w:r>
      <w:r>
        <w:rPr>
          <w:b/>
          <w:bCs/>
        </w:rPr>
        <w:t>endnote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16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56"/>
      <w:gridCol w:w="3506"/>
    </w:tblGrid>
    <w:tr>
      <w:trPr/>
      <w:tc>
        <w:tcPr>
          <w:tcW w:w="4656" w:type="dxa"/>
          <w:tcBorders/>
          <w:vAlign w:val="center"/>
        </w:tcPr>
        <w:p>
          <w:pPr>
            <w:pStyle w:val="Footer"/>
            <w:widowControl w:val="false"/>
            <w:suppressAutoHyphens w:val="true"/>
            <w:spacing w:before="0" w:after="0"/>
            <w:jc w:val="left"/>
            <w:rPr/>
          </w:pPr>
          <w:r>
            <w:rPr/>
            <w:drawing>
              <wp:inline distT="0" distB="0" distL="0" distR="0">
                <wp:extent cx="2811780" cy="847725"/>
                <wp:effectExtent l="0" t="0" r="0" b="0"/>
                <wp:docPr id="2" name="Obraz 2" descr="Obraz zawierający tekst, zrzut ekranu, Czcionka, Jaskrawoniebieski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, zrzut ekranu, Czcionka, Jaskrawoniebieski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11780" cy="84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6" w:type="dxa"/>
          <w:tcBorders/>
          <w:vAlign w:val="cente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</w:pPr>
          <w:r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  <w:t xml:space="preserve">Projekt współfinansowany przez Unię Europejską z Europejskiego Funduszu Rozwoju Regionalnego w ramach programu współpracy INTERREG Polska-Saksonia </w:t>
          </w:r>
        </w:p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</w:pPr>
          <w:r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  <w:t>2021-2027 na podstawie umowy</w:t>
          </w:r>
        </w:p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</w:pPr>
          <w:r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  <w:t>nr PLSN.02.01-IP.01-0001/24</w:t>
          </w:r>
        </w:p>
      </w:tc>
    </w:tr>
  </w:tbl>
  <w:p>
    <w:pPr>
      <w:pStyle w:val="Footer"/>
      <w:rPr/>
    </w:pPr>
    <w:r>
      <w:rPr/>
      <w:t xml:space="preserve">Strona </w:t>
    </w:r>
    <w:r>
      <w:rPr>
        <w:b/>
        <w:bCs/>
        <w:sz w:val="20"/>
        <w:szCs w:val="20"/>
      </w:rPr>
      <w:fldChar w:fldCharType="begin"/>
    </w:r>
    <w:r>
      <w:rPr>
        <w:sz w:val="20"/>
        <w:b/>
        <w:szCs w:val="20"/>
        <w:bCs/>
      </w:rPr>
      <w:instrText xml:space="preserve"> PAGE </w:instrText>
    </w:r>
    <w:r>
      <w:rPr>
        <w:sz w:val="20"/>
        <w:b/>
        <w:szCs w:val="20"/>
        <w:bCs/>
      </w:rPr>
      <w:fldChar w:fldCharType="separate"/>
    </w:r>
    <w:r>
      <w:rPr>
        <w:sz w:val="20"/>
        <w:b/>
        <w:szCs w:val="20"/>
        <w:bCs/>
      </w:rPr>
      <w:t>1</w:t>
    </w:r>
    <w:r>
      <w:rPr>
        <w:sz w:val="20"/>
        <w:b/>
        <w:szCs w:val="20"/>
        <w:bCs/>
      </w:rPr>
      <w:fldChar w:fldCharType="end"/>
    </w:r>
    <w:r>
      <w:rPr>
        <w:b/>
        <w:bCs/>
        <w:sz w:val="20"/>
        <w:szCs w:val="20"/>
      </w:rPr>
      <w:t xml:space="preserve"> z </w:t>
    </w:r>
    <w:r>
      <w:rPr>
        <w:b/>
        <w:bCs/>
        <w:sz w:val="20"/>
        <w:szCs w:val="20"/>
      </w:rPr>
      <w:fldChar w:fldCharType="begin"/>
    </w:r>
    <w:r>
      <w:rPr>
        <w:sz w:val="20"/>
        <w:b/>
        <w:szCs w:val="20"/>
        <w:bCs/>
      </w:rPr>
      <w:instrText xml:space="preserve"> NUMPAGES </w:instrText>
    </w:r>
    <w:r>
      <w:rPr>
        <w:sz w:val="20"/>
        <w:b/>
        <w:szCs w:val="20"/>
        <w:bCs/>
      </w:rPr>
      <w:fldChar w:fldCharType="separate"/>
    </w:r>
    <w:r>
      <w:rPr>
        <w:sz w:val="20"/>
        <w:b/>
        <w:szCs w:val="20"/>
        <w:bCs/>
      </w:rPr>
      <w:t>11</w:t>
    </w:r>
    <w:r>
      <w:rPr>
        <w:sz w:val="20"/>
        <w:b/>
        <w:szCs w:val="20"/>
        <w:bCs/>
      </w:rPr>
      <w:fldChar w:fldCharType="end"/>
    </w:r>
  </w:p>
  <w:p>
    <w:pPr>
      <w:pStyle w:val="Footer"/>
      <w:rPr/>
    </w:pPr>
    <w:r>
      <w:rPr/>
      <w:drawing>
        <wp:anchor behindDoc="1" distT="0" distB="0" distL="0" distR="0" simplePos="0" locked="0" layoutInCell="0" allowOverlap="1" relativeHeight="21">
          <wp:simplePos x="0" y="0"/>
          <wp:positionH relativeFrom="column">
            <wp:posOffset>4589780</wp:posOffset>
          </wp:positionH>
          <wp:positionV relativeFrom="page">
            <wp:posOffset>9825990</wp:posOffset>
          </wp:positionV>
          <wp:extent cx="1231265" cy="849630"/>
          <wp:effectExtent l="0" t="0" r="0" b="0"/>
          <wp:wrapNone/>
          <wp:docPr id="3" name="Obraz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849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margin">
                <wp:posOffset>-4445</wp:posOffset>
              </wp:positionH>
              <wp:positionV relativeFrom="page">
                <wp:posOffset>9822180</wp:posOffset>
              </wp:positionV>
              <wp:extent cx="4269740" cy="538480"/>
              <wp:effectExtent l="0" t="0" r="0" b="0"/>
              <wp:wrapNone/>
              <wp:docPr id="4" name="Pole tekstow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69600" cy="53856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>Sieć Badawcza Łukasiewicz – PORT Polski Ośrodek Rozwoju Technologii</w:t>
                          </w:r>
                        </w:p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>54-066 Wrocław, ul. Stabłowicka 147, Tel: +48 71 734 77 77</w:t>
                          </w:r>
                        </w:p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>E-mail: biuro@port.lukasiewicz.gov.pl | NIP: 894 314 05 23, REGON: 386585168</w:t>
                          </w:r>
                        </w:p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 xml:space="preserve">Sąd Rejonowy dla Wrocławia – Fabrycznej we Wrocławiu, VI Wydział Gospodarczy KRS, </w:t>
                          </w:r>
                        </w:p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>Nr KRS: 0000850580</w:t>
                          </w:r>
                        </w:p>
                      </w:txbxContent>
                    </wps:txbx>
                    <wps:bodyPr lIns="0" rIns="0" tIns="0" bIns="0" anchor="b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Pole tekstowe 1" path="m0,0l-2147483645,0l-2147483645,-2147483646l0,-2147483646xe" stroked="f" o:allowincell="f" style="position:absolute;margin-left:-0.35pt;margin-top:773.4pt;width:336.15pt;height:42.35pt;mso-wrap-style:square;v-text-anchor:bottom;mso-position-horizontal-relative:margin;mso-position-vertical-relative:page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LukStopkaadres"/>
                      <w:rPr/>
                    </w:pPr>
                    <w:r>
                      <w:rPr/>
                      <w:t>Sieć Badawcza Łukasiewicz – PORT Polski Ośrodek Rozwoju Technologii</w:t>
                    </w:r>
                  </w:p>
                  <w:p>
                    <w:pPr>
                      <w:pStyle w:val="LukStopkaadres"/>
                      <w:rPr/>
                    </w:pPr>
                    <w:r>
                      <w:rPr/>
                      <w:t>54-066 Wrocław, ul. Stabłowicka 147, Tel: +48 71 734 77 77</w:t>
                    </w:r>
                  </w:p>
                  <w:p>
                    <w:pPr>
                      <w:pStyle w:val="LukStopkaadres"/>
                      <w:rPr/>
                    </w:pPr>
                    <w:r>
                      <w:rPr/>
                      <w:t>E-mail: biuro@port.lukasiewicz.gov.pl | NIP: 894 314 05 23, REGON: 386585168</w:t>
                    </w:r>
                  </w:p>
                  <w:p>
                    <w:pPr>
                      <w:pStyle w:val="LukStopkaadres"/>
                      <w:rPr/>
                    </w:pPr>
                    <w:r>
                      <w:rPr/>
                      <w:t xml:space="preserve">Sąd Rejonowy dla Wrocławia – Fabrycznej we Wrocławiu, VI Wydział Gospodarczy KRS, </w:t>
                    </w:r>
                  </w:p>
                  <w:p>
                    <w:pPr>
                      <w:pStyle w:val="LukStopkaadres"/>
                      <w:rPr/>
                    </w:pPr>
                    <w:r>
                      <w:rPr/>
                      <w:t>Nr KRS: 0000850580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16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56"/>
      <w:gridCol w:w="3506"/>
    </w:tblGrid>
    <w:tr>
      <w:trPr>
        <w:trHeight w:val="454" w:hRule="atLeast"/>
      </w:trPr>
      <w:tc>
        <w:tcPr>
          <w:tcW w:w="4656" w:type="dxa"/>
          <w:tcBorders/>
          <w:vAlign w:val="center"/>
        </w:tcPr>
        <w:p>
          <w:pPr>
            <w:pStyle w:val="Footer"/>
            <w:widowControl w:val="false"/>
            <w:suppressAutoHyphens w:val="true"/>
            <w:spacing w:before="0" w:after="0"/>
            <w:jc w:val="left"/>
            <w:rPr/>
          </w:pPr>
          <w:r>
            <w:rPr/>
            <w:drawing>
              <wp:inline distT="0" distB="0" distL="0" distR="0">
                <wp:extent cx="2811780" cy="847725"/>
                <wp:effectExtent l="0" t="0" r="0" b="0"/>
                <wp:docPr id="6" name="Obraz 1495253867" descr="Obraz zawierający tekst, zrzut ekranu, Czcionka, Jaskrawoniebieski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1495253867" descr="Obraz zawierający tekst, zrzut ekranu, Czcionka, Jaskrawoniebieski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11780" cy="847725"/>
                        </a:xfrm>
                        <a:prstGeom prst="rect">
                          <a:avLst/>
                        </a:prstGeom>
                        <a:ln w="635">
                          <a:solidFill>
                            <a:srgbClr val="55308D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6" w:type="dxa"/>
          <w:tcBorders>
            <w:left w:val="single" w:sz="18" w:space="0" w:color="3FAF46"/>
            <w:right w:val="single" w:sz="18" w:space="0" w:color="3FAF46"/>
          </w:tcBorders>
          <w:vAlign w:val="cente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</w:pPr>
          <w:r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  <w:t xml:space="preserve">Projekt współfinansowany przez Unię Europejską z Europejskiego Funduszu Rozwoju Regionalnego w ramach programu współpracy INTERREG Polska-Saksonia </w:t>
          </w:r>
        </w:p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</w:pPr>
          <w:r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  <w:t>2021-2027 na podstawie umowy</w:t>
          </w:r>
        </w:p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</w:pPr>
          <w:r>
            <w:rPr>
              <w:rFonts w:eastAsia="Times New Roman" w:cs="Times New Roman"/>
              <w:color w:val="5F5F5F"/>
              <w:spacing w:val="0"/>
              <w:kern w:val="0"/>
              <w:sz w:val="14"/>
              <w:szCs w:val="14"/>
              <w:lang w:val="pl-PL" w:eastAsia="pl-PL" w:bidi="ar-SA"/>
            </w:rPr>
            <w:t>nr PLSN.02.01-IP.01-0001/24</w:t>
          </w:r>
        </w:p>
      </w:tc>
    </w:tr>
  </w:tbl>
  <w:p>
    <w:pPr>
      <w:pStyle w:val="Footer"/>
      <w:rPr/>
    </w:pPr>
    <w:r>
      <w:rPr/>
      <w:t xml:space="preserve">Strona </w:t>
    </w:r>
    <w:r>
      <w:rPr>
        <w:b w:val="false"/>
        <w:bCs/>
        <w:sz w:val="24"/>
        <w:szCs w:val="24"/>
      </w:rPr>
      <w:fldChar w:fldCharType="begin"/>
    </w:r>
    <w:r>
      <w:rPr>
        <w:sz w:val="24"/>
        <w:b w:val="false"/>
        <w:szCs w:val="24"/>
        <w:bCs/>
      </w:rPr>
      <w:instrText xml:space="preserve"> PAGE </w:instrText>
    </w:r>
    <w:r>
      <w:rPr>
        <w:sz w:val="24"/>
        <w:b w:val="false"/>
        <w:szCs w:val="24"/>
        <w:bCs/>
      </w:rPr>
      <w:fldChar w:fldCharType="separate"/>
    </w:r>
    <w:r>
      <w:rPr>
        <w:sz w:val="24"/>
        <w:b w:val="false"/>
        <w:szCs w:val="24"/>
        <w:bCs/>
      </w:rPr>
      <w:t>10</w:t>
    </w:r>
    <w:r>
      <w:rPr>
        <w:sz w:val="24"/>
        <w:b w:val="false"/>
        <w:szCs w:val="24"/>
        <w:bCs/>
      </w:rPr>
      <w:fldChar w:fldCharType="end"/>
    </w:r>
    <w:r>
      <w:rPr/>
      <w:t xml:space="preserve"> z </w:t>
    </w:r>
    <w:r>
      <w:rPr>
        <w:b w:val="false"/>
        <w:bCs/>
        <w:sz w:val="24"/>
        <w:szCs w:val="24"/>
      </w:rPr>
      <w:fldChar w:fldCharType="begin"/>
    </w:r>
    <w:r>
      <w:rPr>
        <w:sz w:val="24"/>
        <w:b w:val="false"/>
        <w:szCs w:val="24"/>
        <w:bCs/>
      </w:rPr>
      <w:instrText xml:space="preserve"> NUMPAGES </w:instrText>
    </w:r>
    <w:r>
      <w:rPr>
        <w:sz w:val="24"/>
        <w:b w:val="false"/>
        <w:szCs w:val="24"/>
        <w:bCs/>
      </w:rPr>
      <w:fldChar w:fldCharType="separate"/>
    </w:r>
    <w:r>
      <w:rPr>
        <w:sz w:val="24"/>
        <w:b w:val="false"/>
        <w:szCs w:val="24"/>
        <w:bCs/>
      </w:rPr>
      <w:t>11</w:t>
    </w:r>
    <w:r>
      <w:rPr>
        <w:sz w:val="24"/>
        <w:b w:val="false"/>
        <w:szCs w:val="24"/>
        <w:bCs/>
      </w:rPr>
      <w:fldChar w:fldCharType="end"/>
    </w:r>
  </w:p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margin">
                <wp:posOffset>-4445</wp:posOffset>
              </wp:positionH>
              <wp:positionV relativeFrom="page">
                <wp:posOffset>9822180</wp:posOffset>
              </wp:positionV>
              <wp:extent cx="4269740" cy="538480"/>
              <wp:effectExtent l="0" t="0" r="0" b="0"/>
              <wp:wrapNone/>
              <wp:docPr id="7" name="Pole tekstow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69600" cy="53856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>Sieć Badawcza Łukasiewicz – PORT Polski Ośrodek Rozwoju Technologii</w:t>
                          </w:r>
                        </w:p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>54-066 Wrocław, ul. Stabłowicka 147, Tel: +48 71 734 77 77</w:t>
                          </w:r>
                        </w:p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>E-mail: biuro@port.lukasiewicz.gov.pl | NIP: 894 314 05 23, REGON: 386585168</w:t>
                          </w:r>
                        </w:p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 xml:space="preserve">Sąd Rejonowy dla Wrocławia – Fabrycznej we Wrocławiu, VI Wydział Gospodarczy KRS, </w:t>
                          </w:r>
                        </w:p>
                        <w:p>
                          <w:pPr>
                            <w:pStyle w:val="LukStopkaadres"/>
                            <w:rPr/>
                          </w:pPr>
                          <w:r>
                            <w:rPr/>
                            <w:t>Nr KRS: 0000850580</w:t>
                          </w:r>
                        </w:p>
                      </w:txbxContent>
                    </wps:txbx>
                    <wps:bodyPr lIns="0" rIns="0" tIns="0" bIns="0" anchor="b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Pole tekstowe 8" path="m0,0l-2147483645,0l-2147483645,-2147483646l0,-2147483646xe" stroked="f" o:allowincell="f" style="position:absolute;margin-left:-0.35pt;margin-top:773.4pt;width:336.15pt;height:42.35pt;mso-wrap-style:square;v-text-anchor:bottom;mso-position-horizontal-relative:margin;mso-position-vertical-relative:page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LukStopkaadres"/>
                      <w:rPr/>
                    </w:pPr>
                    <w:r>
                      <w:rPr/>
                      <w:t>Sieć Badawcza Łukasiewicz – PORT Polski Ośrodek Rozwoju Technologii</w:t>
                    </w:r>
                  </w:p>
                  <w:p>
                    <w:pPr>
                      <w:pStyle w:val="LukStopkaadres"/>
                      <w:rPr/>
                    </w:pPr>
                    <w:r>
                      <w:rPr/>
                      <w:t>54-066 Wrocław, ul. Stabłowicka 147, Tel: +48 71 734 77 77</w:t>
                    </w:r>
                  </w:p>
                  <w:p>
                    <w:pPr>
                      <w:pStyle w:val="LukStopkaadres"/>
                      <w:rPr/>
                    </w:pPr>
                    <w:r>
                      <w:rPr/>
                      <w:t>E-mail: biuro@port.lukasiewicz.gov.pl | NIP: 894 314 05 23, REGON: 386585168</w:t>
                    </w:r>
                  </w:p>
                  <w:p>
                    <w:pPr>
                      <w:pStyle w:val="LukStopkaadres"/>
                      <w:rPr/>
                    </w:pPr>
                    <w:r>
                      <w:rPr/>
                      <w:t xml:space="preserve">Sąd Rejonowy dla Wrocławia – Fabrycznej we Wrocławiu, VI Wydział Gospodarczy KRS, </w:t>
                    </w:r>
                  </w:p>
                  <w:p>
                    <w:pPr>
                      <w:pStyle w:val="LukStopkaadres"/>
                      <w:rPr/>
                    </w:pPr>
                    <w:r>
                      <w:rPr/>
                      <w:t>Nr KRS: 0000850580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0">
          <wp:simplePos x="0" y="0"/>
          <wp:positionH relativeFrom="column">
            <wp:posOffset>4589780</wp:posOffset>
          </wp:positionH>
          <wp:positionV relativeFrom="page">
            <wp:posOffset>9825990</wp:posOffset>
          </wp:positionV>
          <wp:extent cx="1231265" cy="849630"/>
          <wp:effectExtent l="0" t="0" r="0" b="0"/>
          <wp:wrapNone/>
          <wp:docPr id="9" name="Obraz 2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raz 2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849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80"/>
        <w:rPr/>
      </w:pPr>
      <w:r>
        <w:rPr>
          <w:rStyle w:val="FootnoteCharacters"/>
        </w:rPr>
        <w:footnoteRef/>
      </w:r>
      <w:r>
        <w:rPr/>
        <w:tab/>
        <w:t>To jest test dla footnote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-1238250</wp:posOffset>
          </wp:positionH>
          <wp:positionV relativeFrom="page">
            <wp:posOffset>725805</wp:posOffset>
          </wp:positionV>
          <wp:extent cx="791845" cy="1609090"/>
          <wp:effectExtent l="0" t="0" r="0" b="0"/>
          <wp:wrapNone/>
          <wp:docPr id="1" name="Obraz 19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9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1609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0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2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4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6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8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0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2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4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61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-68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7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59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31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03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75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47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19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91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49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6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14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8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170" w:hanging="405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8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6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8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0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2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4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6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85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1318" w:hanging="39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8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8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Verdana" w:cs="Noto Sans Arabic U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exact" w:line="280" w:before="0" w:after="280"/>
      <w:jc w:val="both"/>
    </w:pPr>
    <w:rPr>
      <w:rFonts w:ascii="Verdana" w:hAnsi="Verdana" w:eastAsia="Verdana" w:cs="Noto Sans Arabic UI"/>
      <w:color w:val="000000"/>
      <w:spacing w:val="4"/>
      <w:kern w:val="0"/>
      <w:sz w:val="20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Verdana" w:hAnsi="Verdana" w:eastAsia="Verdana" w:cs="Noto Sans Arabic UI"/>
      <w:color w:val="auto"/>
      <w:sz w:val="32"/>
      <w:szCs w:val="32"/>
    </w:rPr>
  </w:style>
  <w:style w:type="character" w:styleId="DefaultParagraphFont">
    <w:name w:val="Default Paragraph Font"/>
    <w:qFormat/>
    <w:rPr/>
  </w:style>
  <w:style w:type="character" w:styleId="Nagwek1Znak">
    <w:name w:val="Nagłówek 1 Znak"/>
    <w:basedOn w:val="DefaultParagraphFont"/>
    <w:link w:val="Heading1"/>
    <w:qFormat/>
    <w:rPr>
      <w:rFonts w:ascii="Verdana" w:hAnsi="Verdana" w:eastAsia="Verdana" w:cs="Noto Sans Arabic UI"/>
      <w:spacing w:val="4"/>
      <w:sz w:val="32"/>
      <w:szCs w:val="32"/>
    </w:rPr>
  </w:style>
  <w:style w:type="character" w:styleId="NagwekZnak">
    <w:name w:val="Nagłówek Znak"/>
    <w:basedOn w:val="DefaultParagraphFont"/>
    <w:link w:val="Header"/>
    <w:qFormat/>
    <w:rPr>
      <w:color w:val="000000"/>
      <w:spacing w:val="4"/>
      <w:sz w:val="20"/>
    </w:rPr>
  </w:style>
  <w:style w:type="character" w:styleId="StopkaZnak">
    <w:name w:val="Stopka Znak"/>
    <w:basedOn w:val="DefaultParagraphFont"/>
    <w:link w:val="Footer"/>
    <w:qFormat/>
    <w:rPr>
      <w:b/>
      <w:color w:val="000000"/>
      <w:spacing w:val="4"/>
      <w:sz w:val="20"/>
    </w:rPr>
  </w:style>
  <w:style w:type="character" w:styleId="TekstdymkaZnak">
    <w:name w:val="Tekst dymka Znak"/>
    <w:basedOn w:val="DefaultParagraphFont"/>
    <w:link w:val="BalloonText"/>
    <w:qFormat/>
    <w:rPr>
      <w:rFonts w:ascii="Segoe UI" w:hAnsi="Segoe UI" w:cs="Segoe UI"/>
      <w:color w:val="000000"/>
      <w:spacing w:val="4"/>
      <w:sz w:val="18"/>
      <w:szCs w:val="18"/>
    </w:rPr>
  </w:style>
  <w:style w:type="character" w:styleId="InternetLink">
    <w:name w:val="Hyperlink"/>
    <w:rPr>
      <w:color w:val="2F5C99"/>
      <w:u w:val="single"/>
    </w:rPr>
  </w:style>
  <w:style w:type="character" w:styleId="Nierozpoznanawzmianka1">
    <w:name w:val="Nierozpoznana wzmianka1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Eop">
    <w:name w:val="eop"/>
    <w:basedOn w:val="DefaultParagraphFont"/>
    <w:qFormat/>
    <w:rPr/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kstkomentarzaZnak">
    <w:name w:val="Tekst komentarza Znak"/>
    <w:basedOn w:val="DefaultParagraphFont"/>
    <w:link w:val="Annotationtext"/>
    <w:qFormat/>
    <w:rPr>
      <w:color w:val="000000"/>
      <w:spacing w:val="4"/>
      <w:sz w:val="20"/>
      <w:szCs w:val="20"/>
    </w:rPr>
  </w:style>
  <w:style w:type="character" w:styleId="TematkomentarzaZnak">
    <w:name w:val="Temat komentarza Znak"/>
    <w:basedOn w:val="TekstkomentarzaZnak"/>
    <w:link w:val="Annotationsubject"/>
    <w:qFormat/>
    <w:rPr>
      <w:b/>
      <w:bCs/>
      <w:color w:val="000000"/>
      <w:spacing w:val="4"/>
      <w:sz w:val="20"/>
      <w:szCs w:val="20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>
      <w:b/>
    </w:rPr>
  </w:style>
  <w:style w:type="paragraph" w:styleId="LukSzanownaPani">
    <w:name w:val="Luk_Szanowna Pani"/>
    <w:basedOn w:val="Normal"/>
    <w:autoRedefine/>
    <w:qFormat/>
    <w:pPr>
      <w:spacing w:before="540" w:after="0"/>
      <w:ind w:left="4026" w:right="0" w:hanging="0"/>
    </w:pPr>
    <w:rPr>
      <w:rFonts w:ascii="Verdana" w:hAnsi="Verdana" w:cs="Verdana"/>
      <w:color w:val="auto"/>
      <w:spacing w:val="0"/>
      <w:szCs w:val="20"/>
    </w:rPr>
  </w:style>
  <w:style w:type="paragraph" w:styleId="LukImiiNazwwisko">
    <w:name w:val="Luk_Imię i Nazwwisko"/>
    <w:basedOn w:val="LucInstytut"/>
    <w:qFormat/>
    <w:pPr/>
    <w:rPr>
      <w:b/>
    </w:rPr>
  </w:style>
  <w:style w:type="paragraph" w:styleId="LukNagloweklistu">
    <w:name w:val="Luk_Naglowek_listu"/>
    <w:basedOn w:val="LucInstytut"/>
    <w:autoRedefine/>
    <w:qFormat/>
    <w:pPr>
      <w:spacing w:before="560" w:after="560"/>
      <w:ind w:left="0" w:right="0" w:hanging="0"/>
    </w:pPr>
    <w:rPr>
      <w:b/>
    </w:rPr>
  </w:style>
  <w:style w:type="paragraph" w:styleId="LucInstytut">
    <w:name w:val="Luc_Instytut"/>
    <w:basedOn w:val="LukSzanownaPani"/>
    <w:qFormat/>
    <w:pPr>
      <w:spacing w:before="0" w:after="0"/>
    </w:pPr>
    <w:rPr/>
  </w:style>
  <w:style w:type="paragraph" w:styleId="LukStopkaadres">
    <w:name w:val="Luk_Stopka-adres"/>
    <w:basedOn w:val="Normal"/>
    <w:qFormat/>
    <w:pPr>
      <w:spacing w:lineRule="exact" w:line="170" w:before="0" w:after="0"/>
      <w:jc w:val="left"/>
    </w:pPr>
    <w:rPr>
      <w:color w:val="808080"/>
      <w:sz w:val="14"/>
      <w:szCs w:val="14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before="0" w:after="280"/>
      <w:contextualSpacing/>
    </w:pPr>
    <w:rPr/>
  </w:style>
  <w:style w:type="paragraph" w:styleId="LucZwyrazami">
    <w:name w:val="Luc_Z_wyrazami"/>
    <w:basedOn w:val="Normal"/>
    <w:autoRedefine/>
    <w:qFormat/>
    <w:pPr>
      <w:spacing w:before="1360" w:after="840"/>
      <w:jc w:val="left"/>
    </w:pPr>
    <w:rPr/>
  </w:style>
  <w:style w:type="paragraph" w:styleId="NoSpacing">
    <w:name w:val="No Spacing"/>
    <w:basedOn w:val="Normal"/>
    <w:autoRedefine/>
    <w:qFormat/>
    <w:pPr>
      <w:spacing w:before="0" w:after="0"/>
      <w:jc w:val="left"/>
    </w:pPr>
    <w:rPr/>
  </w:style>
  <w:style w:type="paragraph" w:styleId="BalloonText">
    <w:name w:val="Balloon Text"/>
    <w:basedOn w:val="Normal"/>
    <w:link w:val="TekstdymkaZnak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spacing w:lineRule="auto" w:line="259" w:before="0" w:after="160"/>
      <w:ind w:left="720" w:right="0" w:hanging="0"/>
      <w:contextualSpacing/>
      <w:jc w:val="left"/>
    </w:pPr>
    <w:rPr>
      <w:rFonts w:ascii="Calibri" w:hAnsi="Calibri" w:eastAsia="Calibri" w:cs="Times New Roman"/>
      <w:color w:val="auto"/>
      <w:spacing w:val="0"/>
      <w:sz w:val="22"/>
    </w:rPr>
  </w:style>
  <w:style w:type="paragraph" w:styleId="Paragraph">
    <w:name w:val="paragraph"/>
    <w:basedOn w:val="Normal"/>
    <w:qFormat/>
    <w:pPr>
      <w:spacing w:lineRule="auto" w:line="240" w:before="280" w:after="280"/>
      <w:jc w:val="left"/>
    </w:pPr>
    <w:rPr>
      <w:rFonts w:ascii="Times New Roman" w:hAnsi="Times New Roman" w:eastAsia="Times New Roman" w:cs="Times New Roman"/>
      <w:color w:val="auto"/>
      <w:spacing w:val="0"/>
      <w:sz w:val="24"/>
      <w:szCs w:val="24"/>
      <w:lang w:eastAsia="pl-PL"/>
    </w:rPr>
  </w:style>
  <w:style w:type="paragraph" w:styleId="Revision">
    <w:name w:val="Revision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Verdana" w:hAnsi="Verdana" w:eastAsia="Verdana" w:cs="Noto Sans Arabic UI"/>
      <w:color w:val="000000"/>
      <w:spacing w:val="4"/>
      <w:kern w:val="0"/>
      <w:sz w:val="20"/>
      <w:szCs w:val="22"/>
      <w:lang w:val="pl-PL" w:eastAsia="en-US" w:bidi="ar-SA"/>
    </w:rPr>
  </w:style>
  <w:style w:type="paragraph" w:styleId="Annotationtext">
    <w:name w:val="annotation text"/>
    <w:basedOn w:val="Normal"/>
    <w:link w:val="TekstkomentarzaZnak"/>
    <w:qFormat/>
    <w:pPr>
      <w:spacing w:lineRule="auto" w:line="240"/>
    </w:pPr>
    <w:rPr>
      <w:szCs w:val="20"/>
    </w:rPr>
  </w:style>
  <w:style w:type="paragraph" w:styleId="Annotationsubject">
    <w:name w:val="annotation subject"/>
    <w:basedOn w:val="Annotationtext"/>
    <w:next w:val="Annotationtext"/>
    <w:link w:val="TematkomentarzaZnak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ootnote">
    <w:name w:val="Footnote Text"/>
    <w:basedOn w:val="Normal"/>
    <w:pPr>
      <w:suppressLineNumbers/>
      <w:ind w:left="340" w:right="0" w:hanging="340"/>
    </w:pPr>
    <w:rPr>
      <w:sz w:val="20"/>
      <w:szCs w:val="20"/>
    </w:rPr>
  </w:style>
  <w:style w:type="paragraph" w:styleId="Endnote">
    <w:name w:val="Endnote Text"/>
    <w:basedOn w:val="Normal"/>
    <w:pPr>
      <w:suppressLineNumbers/>
      <w:ind w:left="340" w:right="0" w:hanging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rt.lukasiewicz.gov.pl/" TargetMode="External"/><Relationship Id="rId3" Type="http://schemas.openxmlformats.org/officeDocument/2006/relationships/hyperlink" Target="mailto:biuro@port.lukasiewicz.gov.pl" TargetMode="External"/><Relationship Id="rId4" Type="http://schemas.openxmlformats.org/officeDocument/2006/relationships/hyperlink" Target="https://bazakonkurencyjnosci.funduszeeuropejskie.gov.pl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bazakonkurencyjnosci.funduszeeuropejskie.gov.pl/" TargetMode="External"/><Relationship Id="rId8" Type="http://schemas.openxmlformats.org/officeDocument/2006/relationships/hyperlink" Target="mailto:adrian.napora@port.lukasiewicz.gov.pl" TargetMode="External"/><Relationship Id="rId9" Type="http://schemas.openxmlformats.org/officeDocument/2006/relationships/hyperlink" Target="https://bazakonkurencyjnosci.funduszeeuropejskie.gov.pl/" TargetMode="Externa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footnotes" Target="footnotes.xml"/><Relationship Id="rId13" Type="http://schemas.openxmlformats.org/officeDocument/2006/relationships/endnotes" Target="endnot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Papier firmowy_Instytut Łukasiewicza_PL_szablon.dotx</Template>
  <TotalTime>413</TotalTime>
  <Application>LibreOffice/7.3.7.2$Linux_X86_64 LibreOffice_project/30$Build-2</Application>
  <AppVersion>15.0000</AppVersion>
  <Pages>11</Pages>
  <Words>2549</Words>
  <Characters>16972</Characters>
  <CharactersWithSpaces>19368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2025-01-22T12:41:00Z</dcterms:created>
  <dc:creator>Katarzyna Wolynska</dc:creator>
  <dc:description/>
  <dc:language>pl-PL</dc:language>
  <cp:lastModifiedBy/>
  <cp:lastPrinted>2025-09-08T08:07:00Z</cp:lastPrinted>
  <dcterms:modified xsi:type="dcterms:W3CDTF">2025-11-19T23:00:56Z</dcterms:modified>
  <cp:revision>131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0x0101001780E947CFC99046ACF97E94117BF123</vt:lpwstr>
  </property>
  <property fmtid="{D5CDD505-2E9C-101B-9397-08002B2CF9AE}" pid="3" name="MediaServiceImageTags">
    <vt:lpwstr/>
  </property>
</Properties>
</file>