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825B" w14:textId="77777777" w:rsidR="00484C07" w:rsidRPr="00DF5A38" w:rsidRDefault="00000000">
      <w:pPr>
        <w:spacing w:after="40"/>
        <w:jc w:val="center"/>
        <w:rPr>
          <w:sz w:val="24"/>
          <w:szCs w:val="28"/>
        </w:rPr>
      </w:pPr>
      <w:r w:rsidRPr="00DF5A38">
        <w:rPr>
          <w:b/>
          <w:sz w:val="36"/>
          <w:szCs w:val="28"/>
        </w:rPr>
        <w:t>Governed Agentic AI for Healthcare TPO Review</w:t>
      </w:r>
    </w:p>
    <w:p w14:paraId="586E77C7" w14:textId="526CB9DF" w:rsidR="00484C07" w:rsidRPr="00DF5A38" w:rsidRDefault="00000000">
      <w:pPr>
        <w:pStyle w:val="Heading1"/>
        <w:spacing w:after="20"/>
        <w:rPr>
          <w:sz w:val="28"/>
          <w:szCs w:val="36"/>
        </w:rPr>
      </w:pPr>
      <w:r w:rsidRPr="00DF5A38">
        <w:rPr>
          <w:sz w:val="28"/>
          <w:szCs w:val="36"/>
        </w:rPr>
        <w:t>Concept: not an autonomous AI, but a reviewer-assist lane</w:t>
      </w:r>
      <w:r w:rsidR="00DF5A38">
        <w:rPr>
          <w:sz w:val="28"/>
          <w:szCs w:val="36"/>
        </w:rPr>
        <w:t>:</w:t>
      </w:r>
    </w:p>
    <w:p w14:paraId="20F60375" w14:textId="77777777" w:rsidR="00484C07" w:rsidRPr="00DF5A38" w:rsidRDefault="00000000" w:rsidP="00DF5A38">
      <w:pPr>
        <w:spacing w:after="60" w:line="240" w:lineRule="auto"/>
        <w:jc w:val="both"/>
        <w:rPr>
          <w:sz w:val="24"/>
          <w:szCs w:val="28"/>
        </w:rPr>
      </w:pPr>
      <w:r w:rsidRPr="00DF5A38">
        <w:rPr>
          <w:sz w:val="24"/>
          <w:szCs w:val="28"/>
        </w:rPr>
        <w:t xml:space="preserve">The topic I chose is clinical decision making and pattern recognition in healthcare using chain reasoning, agentic generative AI, classification, prediction, inference, clustering, and anomaly detection for Treatment, Payment, and Operations (TPO). The way I interpret this topic is not as a replacement for a clinician, claim reviewer, or payment integrity analyst. I interpret it as a reviewer-assist lane: a controlled workflow that reads a case, finds the relevant policy context, predicts risk, looks for unusual patterns, explains the signal, and then asks a human to make the final judgment when the case is sensitive. That distinction matters. In healthcare, a persuasive answer is not enough; the system </w:t>
      </w:r>
      <w:proofErr w:type="gramStart"/>
      <w:r w:rsidRPr="00DF5A38">
        <w:rPr>
          <w:sz w:val="24"/>
          <w:szCs w:val="28"/>
        </w:rPr>
        <w:t>has to</w:t>
      </w:r>
      <w:proofErr w:type="gramEnd"/>
      <w:r w:rsidRPr="00DF5A38">
        <w:rPr>
          <w:sz w:val="24"/>
          <w:szCs w:val="28"/>
        </w:rPr>
        <w:t xml:space="preserve"> show where its evidence came from and why it is safe to use as support rather than as a final decision.</w:t>
      </w:r>
    </w:p>
    <w:p w14:paraId="18EF6424" w14:textId="77777777" w:rsidR="00484C07" w:rsidRPr="00DF5A38" w:rsidRDefault="00000000" w:rsidP="00DF5A38">
      <w:pPr>
        <w:spacing w:after="60" w:line="240" w:lineRule="auto"/>
        <w:jc w:val="both"/>
        <w:rPr>
          <w:sz w:val="24"/>
          <w:szCs w:val="28"/>
        </w:rPr>
      </w:pPr>
      <w:r w:rsidRPr="00DF5A38">
        <w:rPr>
          <w:sz w:val="24"/>
          <w:szCs w:val="28"/>
        </w:rPr>
        <w:t xml:space="preserve">Cotiviti is a good setting for this idea because payment accuracy depends on both precision and trust. Cotiviti describes payment accuracy as work across the payment cycle, including prepay and </w:t>
      </w:r>
      <w:proofErr w:type="spellStart"/>
      <w:r w:rsidRPr="00DF5A38">
        <w:rPr>
          <w:sz w:val="24"/>
          <w:szCs w:val="28"/>
        </w:rPr>
        <w:t>postpay</w:t>
      </w:r>
      <w:proofErr w:type="spellEnd"/>
      <w:r w:rsidRPr="00DF5A38">
        <w:rPr>
          <w:sz w:val="24"/>
          <w:szCs w:val="28"/>
        </w:rPr>
        <w:t xml:space="preserve"> claim review (Cotiviti, n.d.). CMS also makes a useful distinction that improper payments are not the same as fraud; many are tied to missing or insufficient information (CMS, 2024). That is exactly the space where I think governed AI can be useful: not declaring a claim wrong, but helping a reviewer see what is incomplete, unusual, policy-relevant, or worth routing to another queue.</w:t>
      </w:r>
    </w:p>
    <w:p w14:paraId="32E17B3E" w14:textId="47CCBA8F" w:rsidR="00484C07" w:rsidRPr="00DF5A38" w:rsidRDefault="00000000">
      <w:pPr>
        <w:pStyle w:val="Heading1"/>
        <w:spacing w:after="20"/>
        <w:rPr>
          <w:sz w:val="28"/>
          <w:szCs w:val="36"/>
        </w:rPr>
      </w:pPr>
      <w:r w:rsidRPr="00DF5A38">
        <w:rPr>
          <w:sz w:val="28"/>
          <w:szCs w:val="36"/>
        </w:rPr>
        <w:t>Trends that change the problem</w:t>
      </w:r>
      <w:r w:rsidR="00DF5A38">
        <w:rPr>
          <w:sz w:val="28"/>
          <w:szCs w:val="36"/>
        </w:rPr>
        <w:t>:</w:t>
      </w:r>
    </w:p>
    <w:p w14:paraId="0F41BBEA" w14:textId="77777777" w:rsidR="00484C07" w:rsidRPr="00DF5A38" w:rsidRDefault="00000000" w:rsidP="00DF5A38">
      <w:pPr>
        <w:spacing w:after="60" w:line="240" w:lineRule="auto"/>
        <w:jc w:val="both"/>
        <w:rPr>
          <w:sz w:val="24"/>
          <w:szCs w:val="28"/>
        </w:rPr>
      </w:pPr>
      <w:r w:rsidRPr="00DF5A38">
        <w:rPr>
          <w:sz w:val="24"/>
          <w:szCs w:val="28"/>
        </w:rPr>
        <w:t xml:space="preserve">Three trends stand out </w:t>
      </w:r>
      <w:proofErr w:type="gramStart"/>
      <w:r w:rsidRPr="00DF5A38">
        <w:rPr>
          <w:sz w:val="24"/>
          <w:szCs w:val="28"/>
        </w:rPr>
        <w:t>to</w:t>
      </w:r>
      <w:proofErr w:type="gramEnd"/>
      <w:r w:rsidRPr="00DF5A38">
        <w:rPr>
          <w:sz w:val="24"/>
          <w:szCs w:val="28"/>
        </w:rPr>
        <w:t xml:space="preserve"> me. First, GenAI is moving from conversation into work orchestration. A single chatbot answer is too loose for payment or clinical operations, but an agentic workflow can separate tasks such as retrieval, prediction, explanation, and governance. Second, AI transparency is becoming part of healthcare technology expectations. ONC's HTI-1 rule created transparency requirements for AI and predictive algorithms in certified health IT (ONC, 2024). Even where a claim review tool is not the exact same category as certified EHR functionality, the direction is clear: users will expect to know what data, logic, and limitations sit behind algorithmic output. Third, regulators and customers are likely to judge GenAI by its controls, not only by its accuracy. NIST's Generative AI Profile frames GenAI risk management around identifying, measuring, and managing risks such as hallucination, misuse, and overreliance (NIST, 2024).</w:t>
      </w:r>
    </w:p>
    <w:p w14:paraId="67D2B0EF" w14:textId="77777777" w:rsidR="00484C07" w:rsidRPr="00DF5A38" w:rsidRDefault="00000000" w:rsidP="00DF5A38">
      <w:pPr>
        <w:spacing w:after="60" w:line="240" w:lineRule="auto"/>
        <w:jc w:val="both"/>
        <w:rPr>
          <w:sz w:val="24"/>
          <w:szCs w:val="28"/>
        </w:rPr>
      </w:pPr>
      <w:r w:rsidRPr="00DF5A38">
        <w:rPr>
          <w:sz w:val="24"/>
          <w:szCs w:val="28"/>
        </w:rPr>
        <w:t>My proof of concept was built around those trends. Instead of asking a model to make one big decision, I split the work into smaller steps: case intake, policy retrieval, risk classification, claim clustering, claim-level anomaly detection, time-series operations anomaly detection, explanation, local LLM reasoning, and governance review. The result is deliberately modest, but it shows the first principle: a useful healthcare AI system should be evidence-seeking and review-aware, not just fluent.</w:t>
      </w:r>
    </w:p>
    <w:p w14:paraId="18DAB21E" w14:textId="141DCCFA" w:rsidR="00484C07" w:rsidRPr="00DF5A38" w:rsidRDefault="00000000">
      <w:pPr>
        <w:pStyle w:val="Heading1"/>
        <w:spacing w:after="20"/>
        <w:rPr>
          <w:sz w:val="28"/>
          <w:szCs w:val="36"/>
        </w:rPr>
      </w:pPr>
      <w:r w:rsidRPr="00DF5A38">
        <w:rPr>
          <w:sz w:val="28"/>
          <w:szCs w:val="36"/>
        </w:rPr>
        <w:t>What I built</w:t>
      </w:r>
      <w:r w:rsidR="00DF5A38">
        <w:rPr>
          <w:sz w:val="28"/>
          <w:szCs w:val="36"/>
        </w:rPr>
        <w:t>:</w:t>
      </w:r>
    </w:p>
    <w:p w14:paraId="18EFF4F4" w14:textId="43F10257" w:rsidR="00484C07" w:rsidRPr="00DF5A38" w:rsidRDefault="00DF5A38" w:rsidP="00DF5A38">
      <w:pPr>
        <w:spacing w:after="60" w:line="240" w:lineRule="auto"/>
        <w:jc w:val="both"/>
        <w:rPr>
          <w:strike/>
          <w:sz w:val="24"/>
          <w:szCs w:val="28"/>
        </w:rPr>
      </w:pPr>
      <w:r>
        <w:rPr>
          <w:noProof/>
          <w:sz w:val="24"/>
          <w:szCs w:val="28"/>
        </w:rPr>
        <mc:AlternateContent>
          <mc:Choice Requires="wps">
            <w:drawing>
              <wp:anchor distT="0" distB="0" distL="114300" distR="114300" simplePos="0" relativeHeight="251659264" behindDoc="0" locked="0" layoutInCell="1" allowOverlap="1" wp14:anchorId="0FF3998D" wp14:editId="59C97830">
                <wp:simplePos x="0" y="0"/>
                <wp:positionH relativeFrom="column">
                  <wp:posOffset>2701925</wp:posOffset>
                </wp:positionH>
                <wp:positionV relativeFrom="paragraph">
                  <wp:posOffset>1711960</wp:posOffset>
                </wp:positionV>
                <wp:extent cx="1127760" cy="243840"/>
                <wp:effectExtent l="0" t="0" r="15240" b="22860"/>
                <wp:wrapNone/>
                <wp:docPr id="269118956" name="Text Box 3"/>
                <wp:cNvGraphicFramePr/>
                <a:graphic xmlns:a="http://schemas.openxmlformats.org/drawingml/2006/main">
                  <a:graphicData uri="http://schemas.microsoft.com/office/word/2010/wordprocessingShape">
                    <wps:wsp>
                      <wps:cNvSpPr txBox="1"/>
                      <wps:spPr>
                        <a:xfrm>
                          <a:off x="0" y="0"/>
                          <a:ext cx="1127760" cy="243840"/>
                        </a:xfrm>
                        <a:prstGeom prst="rect">
                          <a:avLst/>
                        </a:prstGeom>
                        <a:solidFill>
                          <a:schemeClr val="lt1"/>
                        </a:solidFill>
                        <a:ln w="6350">
                          <a:solidFill>
                            <a:schemeClr val="bg1"/>
                          </a:solidFill>
                        </a:ln>
                      </wps:spPr>
                      <wps:txbx>
                        <w:txbxContent>
                          <w:p w14:paraId="6924F795" w14:textId="0F6079E3" w:rsidR="00DF5A38" w:rsidRDefault="00DF5A38" w:rsidP="00DF5A38">
                            <w:pPr>
                              <w:jc w:val="cente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F3998D" id="_x0000_t202" coordsize="21600,21600" o:spt="202" path="m,l,21600r21600,l21600,xe">
                <v:stroke joinstyle="miter"/>
                <v:path gradientshapeok="t" o:connecttype="rect"/>
              </v:shapetype>
              <v:shape id="Text Box 3" o:spid="_x0000_s1026" type="#_x0000_t202" style="position:absolute;left:0;text-align:left;margin-left:212.75pt;margin-top:134.8pt;width:88.8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96tNAIAAHwEAAAOAAAAZHJzL2Uyb0RvYy54bWysVE1v2zAMvQ/YfxB0X5ykadIZcYosRYYB&#10;QVsgHXpWZDk2IIuaxMTOfv0oxflo19Owi0yK1CP5SHp639aa7ZXzFZiMD3p9zpSRkFdmm/GfL8sv&#10;d5x5FCYXGozK+EF5fj/7/Gna2FQNoQSdK8cIxPi0sRkvEW2aJF6Wqha+B1YZMhbgaoGkum2SO9EQ&#10;eq2TYb8/ThpwuXUglfd0+3A08lnELwol8akovEKmM065YTxdPDfhTGZTkW6dsGUluzTEP2RRi8pQ&#10;0DPUg0DBdq76C6qupAMPBfYk1AkURSVVrIGqGfTfVbMuhVWxFiLH2zNN/v/Bysf92j47hu03aKmB&#10;gZDG+tTTZainLVwdvpQpIztReDjTplpkMjwaDCeTMZkk2Yajm7tR5DW5vLbO43cFNQtCxh21JbIl&#10;9iuPFJFcTy4hmAdd5ctK66iEUVAL7dheUBM1xhzpxRsvbViT8fHNbT8Cv7HFYbogbLYfIBCeNpTI&#10;pfYgYbtpO0I2kB+IJwfHEfJWLisqZiU8PgtHM0P10x7gEx2FBkoGOomzEtzvj+6DP7WSrJw1NIMZ&#10;9792winO9A9DTf46GBGVDKMyup0MSXHXls21xezqBRBDA9o4K6MY/FGfxMJB/UrrMg9RySSMpNgZ&#10;x5O4wONm0LpJNZ9HJxpTK3Bl1lYG6NCR0KqX9lU42/UTaRIe4TStIn3X1qNveGlgvkMoqtjzQPCR&#10;1Y53GvE4Ct06hh261qPX5acx+wMAAP//AwBQSwMEFAAGAAgAAAAhAHXJ6cXhAAAACwEAAA8AAABk&#10;cnMvZG93bnJldi54bWxMj0FLw0AQhe+C/2EZwZvdbZKGNGZTgiKCFsTai7dpMibB7GzIbtv037ue&#10;9Di8j/e+KTazGcSJJtdb1rBcKBDEtW16bjXsP57uMhDOIzc4WCYNF3KwKa+vCswbe+Z3Ou18K0IJ&#10;uxw1dN6PuZSu7sigW9iROGRfdjLowzm1spnwHMrNICOlUmmw57DQ4UgPHdXfu6PR8JJ84mPsX+ni&#10;eX6rqudsTNxW69ububoH4Wn2fzD86gd1KIPTwR65cWLQkESrVUA1ROk6BRGIVMVLEAcNscoUyLKQ&#10;/38ofwAAAP//AwBQSwECLQAUAAYACAAAACEAtoM4kv4AAADhAQAAEwAAAAAAAAAAAAAAAAAAAAAA&#10;W0NvbnRlbnRfVHlwZXNdLnhtbFBLAQItABQABgAIAAAAIQA4/SH/1gAAAJQBAAALAAAAAAAAAAAA&#10;AAAAAC8BAABfcmVscy8ucmVsc1BLAQItABQABgAIAAAAIQALj96tNAIAAHwEAAAOAAAAAAAAAAAA&#10;AAAAAC4CAABkcnMvZTJvRG9jLnhtbFBLAQItABQABgAIAAAAIQB1yenF4QAAAAsBAAAPAAAAAAAA&#10;AAAAAAAAAI4EAABkcnMvZG93bnJldi54bWxQSwUGAAAAAAQABADzAAAAnAUAAAAA&#10;" fillcolor="white [3201]" strokecolor="white [3212]" strokeweight=".5pt">
                <v:textbox>
                  <w:txbxContent>
                    <w:p w14:paraId="6924F795" w14:textId="0F6079E3" w:rsidR="00DF5A38" w:rsidRDefault="00DF5A38" w:rsidP="00DF5A38">
                      <w:pPr>
                        <w:jc w:val="center"/>
                      </w:pPr>
                      <w:r>
                        <w:t>1</w:t>
                      </w:r>
                    </w:p>
                  </w:txbxContent>
                </v:textbox>
              </v:shape>
            </w:pict>
          </mc:Fallback>
        </mc:AlternateContent>
      </w:r>
      <w:r w:rsidR="00000000" w:rsidRPr="00DF5A38">
        <w:rPr>
          <w:sz w:val="24"/>
          <w:szCs w:val="28"/>
        </w:rPr>
        <w:t xml:space="preserve">I built a </w:t>
      </w:r>
      <w:proofErr w:type="spellStart"/>
      <w:r w:rsidR="00000000" w:rsidRPr="00DF5A38">
        <w:rPr>
          <w:sz w:val="24"/>
          <w:szCs w:val="28"/>
        </w:rPr>
        <w:t>Streamlit</w:t>
      </w:r>
      <w:proofErr w:type="spellEnd"/>
      <w:r w:rsidR="00000000" w:rsidRPr="00DF5A38">
        <w:rPr>
          <w:sz w:val="24"/>
          <w:szCs w:val="28"/>
        </w:rPr>
        <w:t xml:space="preserve"> prototype called TPO Agent using only synthetic data and fictional policy documents. A user enters a case such as a wound care claim with diagnosis, claim amount, prior visits, documentation status, provider type, and workflow type. The app retrieves relevant policy text using </w:t>
      </w:r>
      <w:proofErr w:type="spellStart"/>
      <w:r w:rsidR="00000000" w:rsidRPr="00DF5A38">
        <w:rPr>
          <w:sz w:val="24"/>
          <w:szCs w:val="28"/>
        </w:rPr>
        <w:t>SentenceTransformers</w:t>
      </w:r>
      <w:proofErr w:type="spellEnd"/>
      <w:r w:rsidR="00000000" w:rsidRPr="00DF5A38">
        <w:rPr>
          <w:sz w:val="24"/>
          <w:szCs w:val="28"/>
        </w:rPr>
        <w:t xml:space="preserve"> and </w:t>
      </w:r>
      <w:proofErr w:type="spellStart"/>
      <w:r w:rsidR="00000000" w:rsidRPr="00DF5A38">
        <w:rPr>
          <w:sz w:val="24"/>
          <w:szCs w:val="28"/>
        </w:rPr>
        <w:t>ChromaDB</w:t>
      </w:r>
      <w:proofErr w:type="spellEnd"/>
      <w:r w:rsidR="00000000" w:rsidRPr="00DF5A38">
        <w:rPr>
          <w:sz w:val="24"/>
          <w:szCs w:val="28"/>
        </w:rPr>
        <w:t xml:space="preserve">, predicts risk using a Scikit-learn classifier, checks claim-level outliers using Isolation Forest, groups the case with similar synthetic claims using </w:t>
      </w:r>
      <w:proofErr w:type="spellStart"/>
      <w:r w:rsidR="00000000" w:rsidRPr="00DF5A38">
        <w:rPr>
          <w:sz w:val="24"/>
          <w:szCs w:val="28"/>
        </w:rPr>
        <w:t>KMeans</w:t>
      </w:r>
      <w:proofErr w:type="spellEnd"/>
      <w:r w:rsidR="00000000" w:rsidRPr="00DF5A38">
        <w:rPr>
          <w:sz w:val="24"/>
          <w:szCs w:val="28"/>
        </w:rPr>
        <w:t xml:space="preserve"> clustering, and checks a small synthetic daily activity file for time-series spikes. A local </w:t>
      </w:r>
      <w:proofErr w:type="spellStart"/>
      <w:r w:rsidR="00000000" w:rsidRPr="00DF5A38">
        <w:rPr>
          <w:sz w:val="24"/>
          <w:szCs w:val="28"/>
        </w:rPr>
        <w:t>Ollama</w:t>
      </w:r>
      <w:proofErr w:type="spellEnd"/>
      <w:r w:rsidR="00000000" w:rsidRPr="00DF5A38">
        <w:rPr>
          <w:sz w:val="24"/>
          <w:szCs w:val="28"/>
        </w:rPr>
        <w:t xml:space="preserve"> model then writes a policy-aware explanation, and a governance step adds flags such as 'recommendation only,' 'no autonomous denial,' 'synthetic data only,' and 'human review required.' I also added a reviewer Q&amp;A tab so the user can ask case-specific questions after the workflow runs.</w:t>
      </w:r>
    </w:p>
    <w:p w14:paraId="4894F621" w14:textId="77777777" w:rsidR="00484C07" w:rsidRPr="00DF5A38" w:rsidRDefault="00000000" w:rsidP="00DF5A38">
      <w:pPr>
        <w:spacing w:after="60" w:line="240" w:lineRule="auto"/>
        <w:jc w:val="both"/>
        <w:rPr>
          <w:sz w:val="24"/>
          <w:szCs w:val="28"/>
        </w:rPr>
      </w:pPr>
      <w:r w:rsidRPr="00DF5A38">
        <w:rPr>
          <w:sz w:val="24"/>
          <w:szCs w:val="28"/>
        </w:rPr>
        <w:lastRenderedPageBreak/>
        <w:t>This is not meant to be a production model. The dataset is small, the policies are fictional, and the signals are designed to prove a concept. But the structure is intentional. The classifier answers, 'How risky does this case look?' The retriever answers, 'What policy text should the reviewer consider?' Clustering answers, 'What kind of case pattern does this resemble?' Time-series anomaly detection answers, 'Is recent activity for this procedure unusual?' The LLM answers, 'Can we explain the result in plain language?' The governance layer answers, 'Should a person be in the loop before action?'</w:t>
      </w:r>
    </w:p>
    <w:p w14:paraId="15B32064" w14:textId="78461595" w:rsidR="00484C07" w:rsidRPr="00DF5A38" w:rsidRDefault="00000000" w:rsidP="00DF5A38">
      <w:pPr>
        <w:rPr>
          <w:b/>
          <w:bCs/>
          <w:sz w:val="24"/>
          <w:szCs w:val="28"/>
        </w:rPr>
      </w:pPr>
      <w:r w:rsidRPr="00DF5A38">
        <w:rPr>
          <w:b/>
          <w:bCs/>
          <w:sz w:val="24"/>
          <w:szCs w:val="28"/>
        </w:rPr>
        <w:t>Prototype components and research purpose</w:t>
      </w:r>
      <w:r w:rsidR="00DF5A38" w:rsidRPr="00DF5A38">
        <w:rPr>
          <w:b/>
          <w:bCs/>
          <w:sz w:val="24"/>
          <w:szCs w:val="28"/>
        </w:rPr>
        <w:t>:</w:t>
      </w:r>
    </w:p>
    <w:tbl>
      <w:tblPr>
        <w:tblW w:w="0" w:type="auto"/>
        <w:jc w:val="center"/>
        <w:tblLook w:val="04A0" w:firstRow="1" w:lastRow="0" w:firstColumn="1" w:lastColumn="0" w:noHBand="0" w:noVBand="1"/>
      </w:tblPr>
      <w:tblGrid>
        <w:gridCol w:w="3389"/>
        <w:gridCol w:w="3389"/>
        <w:gridCol w:w="3389"/>
      </w:tblGrid>
      <w:tr w:rsidR="00484C07" w:rsidRPr="00DF5A38" w14:paraId="2EC3C049"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13EE4BFC" w14:textId="77777777" w:rsidR="00484C07" w:rsidRPr="00DF5A38" w:rsidRDefault="00000000">
            <w:pPr>
              <w:spacing w:after="0"/>
              <w:rPr>
                <w:sz w:val="24"/>
                <w:szCs w:val="28"/>
              </w:rPr>
            </w:pPr>
            <w:r w:rsidRPr="00DF5A38">
              <w:rPr>
                <w:b/>
                <w:sz w:val="22"/>
                <w:szCs w:val="28"/>
              </w:rPr>
              <w:t>Component</w:t>
            </w:r>
          </w:p>
        </w:tc>
        <w:tc>
          <w:tcPr>
            <w:tcW w:w="3389" w:type="dxa"/>
            <w:tcBorders>
              <w:top w:val="single" w:sz="4" w:space="0" w:color="000000"/>
              <w:left w:val="single" w:sz="4" w:space="0" w:color="000000"/>
              <w:bottom w:val="single" w:sz="4" w:space="0" w:color="000000"/>
              <w:right w:val="single" w:sz="4" w:space="0" w:color="000000"/>
            </w:tcBorders>
          </w:tcPr>
          <w:p w14:paraId="37E5CA1B" w14:textId="77777777" w:rsidR="00484C07" w:rsidRPr="00DF5A38" w:rsidRDefault="00000000">
            <w:pPr>
              <w:spacing w:after="0"/>
              <w:rPr>
                <w:sz w:val="24"/>
                <w:szCs w:val="28"/>
              </w:rPr>
            </w:pPr>
            <w:r w:rsidRPr="00DF5A38">
              <w:rPr>
                <w:b/>
                <w:sz w:val="22"/>
                <w:szCs w:val="28"/>
              </w:rPr>
              <w:t>Technology used</w:t>
            </w:r>
          </w:p>
        </w:tc>
        <w:tc>
          <w:tcPr>
            <w:tcW w:w="3389" w:type="dxa"/>
            <w:tcBorders>
              <w:top w:val="single" w:sz="4" w:space="0" w:color="000000"/>
              <w:left w:val="single" w:sz="4" w:space="0" w:color="000000"/>
              <w:bottom w:val="single" w:sz="4" w:space="0" w:color="000000"/>
              <w:right w:val="single" w:sz="4" w:space="0" w:color="000000"/>
            </w:tcBorders>
          </w:tcPr>
          <w:p w14:paraId="05873332" w14:textId="77777777" w:rsidR="00484C07" w:rsidRPr="00DF5A38" w:rsidRDefault="00000000">
            <w:pPr>
              <w:spacing w:after="0"/>
              <w:rPr>
                <w:sz w:val="24"/>
                <w:szCs w:val="28"/>
              </w:rPr>
            </w:pPr>
            <w:r w:rsidRPr="00DF5A38">
              <w:rPr>
                <w:b/>
                <w:sz w:val="22"/>
                <w:szCs w:val="28"/>
              </w:rPr>
              <w:t>Why it matters</w:t>
            </w:r>
          </w:p>
        </w:tc>
      </w:tr>
      <w:tr w:rsidR="00484C07" w:rsidRPr="00DF5A38" w14:paraId="77FDD85F"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26B47010" w14:textId="77777777" w:rsidR="00484C07" w:rsidRPr="00DF5A38" w:rsidRDefault="00000000">
            <w:pPr>
              <w:spacing w:after="0"/>
              <w:rPr>
                <w:sz w:val="24"/>
                <w:szCs w:val="28"/>
              </w:rPr>
            </w:pPr>
            <w:r w:rsidRPr="00DF5A38">
              <w:rPr>
                <w:sz w:val="22"/>
                <w:szCs w:val="28"/>
              </w:rPr>
              <w:t>Policy retrieval</w:t>
            </w:r>
          </w:p>
        </w:tc>
        <w:tc>
          <w:tcPr>
            <w:tcW w:w="3389" w:type="dxa"/>
            <w:tcBorders>
              <w:top w:val="single" w:sz="4" w:space="0" w:color="000000"/>
              <w:left w:val="single" w:sz="4" w:space="0" w:color="000000"/>
              <w:bottom w:val="single" w:sz="4" w:space="0" w:color="000000"/>
              <w:right w:val="single" w:sz="4" w:space="0" w:color="000000"/>
            </w:tcBorders>
          </w:tcPr>
          <w:p w14:paraId="733BCA7C" w14:textId="77777777" w:rsidR="00484C07" w:rsidRPr="00DF5A38" w:rsidRDefault="00000000">
            <w:pPr>
              <w:spacing w:after="0"/>
              <w:rPr>
                <w:sz w:val="24"/>
                <w:szCs w:val="28"/>
              </w:rPr>
            </w:pPr>
            <w:proofErr w:type="spellStart"/>
            <w:r w:rsidRPr="00DF5A38">
              <w:rPr>
                <w:sz w:val="22"/>
                <w:szCs w:val="28"/>
              </w:rPr>
              <w:t>SentenceTransformers</w:t>
            </w:r>
            <w:proofErr w:type="spellEnd"/>
            <w:r w:rsidRPr="00DF5A38">
              <w:rPr>
                <w:sz w:val="22"/>
                <w:szCs w:val="28"/>
              </w:rPr>
              <w:t xml:space="preserve"> + </w:t>
            </w:r>
            <w:proofErr w:type="spellStart"/>
            <w:r w:rsidRPr="00DF5A38">
              <w:rPr>
                <w:sz w:val="22"/>
                <w:szCs w:val="28"/>
              </w:rPr>
              <w:t>ChromaDB</w:t>
            </w:r>
            <w:proofErr w:type="spellEnd"/>
          </w:p>
        </w:tc>
        <w:tc>
          <w:tcPr>
            <w:tcW w:w="3389" w:type="dxa"/>
            <w:tcBorders>
              <w:top w:val="single" w:sz="4" w:space="0" w:color="000000"/>
              <w:left w:val="single" w:sz="4" w:space="0" w:color="000000"/>
              <w:bottom w:val="single" w:sz="4" w:space="0" w:color="000000"/>
              <w:right w:val="single" w:sz="4" w:space="0" w:color="000000"/>
            </w:tcBorders>
          </w:tcPr>
          <w:p w14:paraId="57D3EB7C" w14:textId="77777777" w:rsidR="00484C07" w:rsidRPr="00DF5A38" w:rsidRDefault="00000000">
            <w:pPr>
              <w:spacing w:after="0"/>
              <w:rPr>
                <w:sz w:val="24"/>
                <w:szCs w:val="28"/>
              </w:rPr>
            </w:pPr>
            <w:r w:rsidRPr="00DF5A38">
              <w:rPr>
                <w:sz w:val="22"/>
                <w:szCs w:val="28"/>
              </w:rPr>
              <w:t>Grounds reasoning in retrieved policy evidence.</w:t>
            </w:r>
          </w:p>
        </w:tc>
      </w:tr>
      <w:tr w:rsidR="00484C07" w:rsidRPr="00DF5A38" w14:paraId="26C25577"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6062BD08" w14:textId="77777777" w:rsidR="00484C07" w:rsidRPr="00DF5A38" w:rsidRDefault="00000000">
            <w:pPr>
              <w:spacing w:after="0"/>
              <w:rPr>
                <w:sz w:val="24"/>
                <w:szCs w:val="28"/>
              </w:rPr>
            </w:pPr>
            <w:r w:rsidRPr="00DF5A38">
              <w:rPr>
                <w:sz w:val="22"/>
                <w:szCs w:val="28"/>
              </w:rPr>
              <w:t>Risk prediction</w:t>
            </w:r>
          </w:p>
        </w:tc>
        <w:tc>
          <w:tcPr>
            <w:tcW w:w="3389" w:type="dxa"/>
            <w:tcBorders>
              <w:top w:val="single" w:sz="4" w:space="0" w:color="000000"/>
              <w:left w:val="single" w:sz="4" w:space="0" w:color="000000"/>
              <w:bottom w:val="single" w:sz="4" w:space="0" w:color="000000"/>
              <w:right w:val="single" w:sz="4" w:space="0" w:color="000000"/>
            </w:tcBorders>
          </w:tcPr>
          <w:p w14:paraId="46FAB3F2" w14:textId="77777777" w:rsidR="00484C07" w:rsidRPr="00DF5A38" w:rsidRDefault="00000000">
            <w:pPr>
              <w:spacing w:after="0"/>
              <w:rPr>
                <w:sz w:val="24"/>
                <w:szCs w:val="28"/>
              </w:rPr>
            </w:pPr>
            <w:r w:rsidRPr="00DF5A38">
              <w:rPr>
                <w:sz w:val="22"/>
                <w:szCs w:val="28"/>
              </w:rPr>
              <w:t>Random Forest</w:t>
            </w:r>
          </w:p>
        </w:tc>
        <w:tc>
          <w:tcPr>
            <w:tcW w:w="3389" w:type="dxa"/>
            <w:tcBorders>
              <w:top w:val="single" w:sz="4" w:space="0" w:color="000000"/>
              <w:left w:val="single" w:sz="4" w:space="0" w:color="000000"/>
              <w:bottom w:val="single" w:sz="4" w:space="0" w:color="000000"/>
              <w:right w:val="single" w:sz="4" w:space="0" w:color="000000"/>
            </w:tcBorders>
          </w:tcPr>
          <w:p w14:paraId="1AD6352A" w14:textId="77777777" w:rsidR="00484C07" w:rsidRPr="00DF5A38" w:rsidRDefault="00000000">
            <w:pPr>
              <w:spacing w:after="0"/>
              <w:rPr>
                <w:sz w:val="24"/>
                <w:szCs w:val="28"/>
              </w:rPr>
            </w:pPr>
            <w:r w:rsidRPr="00DF5A38">
              <w:rPr>
                <w:sz w:val="22"/>
                <w:szCs w:val="28"/>
              </w:rPr>
              <w:t>Classifies new cases as low, medium, or high risk.</w:t>
            </w:r>
          </w:p>
        </w:tc>
      </w:tr>
      <w:tr w:rsidR="00484C07" w:rsidRPr="00DF5A38" w14:paraId="6442F430"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08557B78" w14:textId="77777777" w:rsidR="00484C07" w:rsidRPr="00DF5A38" w:rsidRDefault="00000000">
            <w:pPr>
              <w:spacing w:after="0"/>
              <w:rPr>
                <w:sz w:val="24"/>
                <w:szCs w:val="28"/>
              </w:rPr>
            </w:pPr>
            <w:r w:rsidRPr="00DF5A38">
              <w:rPr>
                <w:sz w:val="22"/>
                <w:szCs w:val="28"/>
              </w:rPr>
              <w:t>Pattern recognition</w:t>
            </w:r>
          </w:p>
        </w:tc>
        <w:tc>
          <w:tcPr>
            <w:tcW w:w="3389" w:type="dxa"/>
            <w:tcBorders>
              <w:top w:val="single" w:sz="4" w:space="0" w:color="000000"/>
              <w:left w:val="single" w:sz="4" w:space="0" w:color="000000"/>
              <w:bottom w:val="single" w:sz="4" w:space="0" w:color="000000"/>
              <w:right w:val="single" w:sz="4" w:space="0" w:color="000000"/>
            </w:tcBorders>
          </w:tcPr>
          <w:p w14:paraId="526E57C6" w14:textId="77777777" w:rsidR="00484C07" w:rsidRPr="00DF5A38" w:rsidRDefault="00000000" w:rsidP="00DF5A38">
            <w:pPr>
              <w:rPr>
                <w:sz w:val="24"/>
                <w:szCs w:val="28"/>
              </w:rPr>
            </w:pPr>
            <w:proofErr w:type="spellStart"/>
            <w:r w:rsidRPr="00DF5A38">
              <w:rPr>
                <w:sz w:val="22"/>
                <w:szCs w:val="28"/>
              </w:rPr>
              <w:t>KMeans</w:t>
            </w:r>
            <w:proofErr w:type="spellEnd"/>
            <w:r w:rsidRPr="00DF5A38">
              <w:rPr>
                <w:sz w:val="22"/>
                <w:szCs w:val="28"/>
              </w:rPr>
              <w:t xml:space="preserve"> + </w:t>
            </w:r>
            <w:r w:rsidRPr="00DF5A38">
              <w:rPr>
                <w:sz w:val="24"/>
                <w:szCs w:val="28"/>
              </w:rPr>
              <w:t>Isolation</w:t>
            </w:r>
            <w:r w:rsidRPr="00DF5A38">
              <w:rPr>
                <w:sz w:val="22"/>
                <w:szCs w:val="28"/>
              </w:rPr>
              <w:t xml:space="preserve"> Forest</w:t>
            </w:r>
          </w:p>
        </w:tc>
        <w:tc>
          <w:tcPr>
            <w:tcW w:w="3389" w:type="dxa"/>
            <w:tcBorders>
              <w:top w:val="single" w:sz="4" w:space="0" w:color="000000"/>
              <w:left w:val="single" w:sz="4" w:space="0" w:color="000000"/>
              <w:bottom w:val="single" w:sz="4" w:space="0" w:color="000000"/>
              <w:right w:val="single" w:sz="4" w:space="0" w:color="000000"/>
            </w:tcBorders>
          </w:tcPr>
          <w:p w14:paraId="6E2A3512" w14:textId="77777777" w:rsidR="00484C07" w:rsidRPr="00DF5A38" w:rsidRDefault="00000000">
            <w:pPr>
              <w:spacing w:after="0"/>
              <w:rPr>
                <w:sz w:val="24"/>
                <w:szCs w:val="28"/>
              </w:rPr>
            </w:pPr>
            <w:r w:rsidRPr="00DF5A38">
              <w:rPr>
                <w:sz w:val="22"/>
                <w:szCs w:val="28"/>
              </w:rPr>
              <w:t>Finds similar case groups and unusual claim patterns.</w:t>
            </w:r>
          </w:p>
        </w:tc>
      </w:tr>
      <w:tr w:rsidR="00484C07" w:rsidRPr="00DF5A38" w14:paraId="3CE01B3B"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779ED0FE" w14:textId="77777777" w:rsidR="00484C07" w:rsidRPr="00DF5A38" w:rsidRDefault="00000000">
            <w:pPr>
              <w:spacing w:after="0"/>
              <w:rPr>
                <w:sz w:val="24"/>
                <w:szCs w:val="28"/>
              </w:rPr>
            </w:pPr>
            <w:r w:rsidRPr="00DF5A38">
              <w:rPr>
                <w:sz w:val="22"/>
                <w:szCs w:val="28"/>
              </w:rPr>
              <w:t>Operations signal</w:t>
            </w:r>
          </w:p>
        </w:tc>
        <w:tc>
          <w:tcPr>
            <w:tcW w:w="3389" w:type="dxa"/>
            <w:tcBorders>
              <w:top w:val="single" w:sz="4" w:space="0" w:color="000000"/>
              <w:left w:val="single" w:sz="4" w:space="0" w:color="000000"/>
              <w:bottom w:val="single" w:sz="4" w:space="0" w:color="000000"/>
              <w:right w:val="single" w:sz="4" w:space="0" w:color="000000"/>
            </w:tcBorders>
          </w:tcPr>
          <w:p w14:paraId="22C48E45" w14:textId="77777777" w:rsidR="00484C07" w:rsidRPr="00DF5A38" w:rsidRDefault="00000000" w:rsidP="00DF5A38">
            <w:pPr>
              <w:rPr>
                <w:sz w:val="24"/>
                <w:szCs w:val="28"/>
              </w:rPr>
            </w:pPr>
            <w:r w:rsidRPr="00DF5A38">
              <w:rPr>
                <w:sz w:val="22"/>
                <w:szCs w:val="28"/>
              </w:rPr>
              <w:t>Synthetic time-series + Isolation Forest</w:t>
            </w:r>
          </w:p>
        </w:tc>
        <w:tc>
          <w:tcPr>
            <w:tcW w:w="3389" w:type="dxa"/>
            <w:tcBorders>
              <w:top w:val="single" w:sz="4" w:space="0" w:color="000000"/>
              <w:left w:val="single" w:sz="4" w:space="0" w:color="000000"/>
              <w:bottom w:val="single" w:sz="4" w:space="0" w:color="000000"/>
              <w:right w:val="single" w:sz="4" w:space="0" w:color="000000"/>
            </w:tcBorders>
          </w:tcPr>
          <w:p w14:paraId="6992B96B" w14:textId="77777777" w:rsidR="00484C07" w:rsidRPr="00DF5A38" w:rsidRDefault="00000000">
            <w:pPr>
              <w:spacing w:after="0"/>
              <w:rPr>
                <w:sz w:val="24"/>
                <w:szCs w:val="28"/>
              </w:rPr>
            </w:pPr>
            <w:r w:rsidRPr="00DF5A38">
              <w:rPr>
                <w:sz w:val="22"/>
                <w:szCs w:val="28"/>
              </w:rPr>
              <w:t>Demonstrates spike detection across daily claim activity.</w:t>
            </w:r>
          </w:p>
        </w:tc>
      </w:tr>
      <w:tr w:rsidR="00484C07" w:rsidRPr="00DF5A38" w14:paraId="16196EA1"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7C818CB5" w14:textId="77777777" w:rsidR="00484C07" w:rsidRPr="00DF5A38" w:rsidRDefault="00000000">
            <w:pPr>
              <w:spacing w:after="0"/>
              <w:rPr>
                <w:sz w:val="24"/>
                <w:szCs w:val="28"/>
              </w:rPr>
            </w:pPr>
            <w:r w:rsidRPr="00DF5A38">
              <w:rPr>
                <w:sz w:val="22"/>
                <w:szCs w:val="28"/>
              </w:rPr>
              <w:t>Reasoning and governance</w:t>
            </w:r>
          </w:p>
        </w:tc>
        <w:tc>
          <w:tcPr>
            <w:tcW w:w="3389" w:type="dxa"/>
            <w:tcBorders>
              <w:top w:val="single" w:sz="4" w:space="0" w:color="000000"/>
              <w:left w:val="single" w:sz="4" w:space="0" w:color="000000"/>
              <w:bottom w:val="single" w:sz="4" w:space="0" w:color="000000"/>
              <w:right w:val="single" w:sz="4" w:space="0" w:color="000000"/>
            </w:tcBorders>
          </w:tcPr>
          <w:p w14:paraId="10FFF9A3" w14:textId="77777777" w:rsidR="00484C07" w:rsidRPr="00DF5A38" w:rsidRDefault="00000000">
            <w:pPr>
              <w:spacing w:after="0"/>
              <w:rPr>
                <w:sz w:val="24"/>
                <w:szCs w:val="28"/>
              </w:rPr>
            </w:pPr>
            <w:r w:rsidRPr="00DF5A38">
              <w:rPr>
                <w:sz w:val="22"/>
                <w:szCs w:val="28"/>
              </w:rPr>
              <w:t>Ollama + rules</w:t>
            </w:r>
          </w:p>
        </w:tc>
        <w:tc>
          <w:tcPr>
            <w:tcW w:w="3389" w:type="dxa"/>
            <w:tcBorders>
              <w:top w:val="single" w:sz="4" w:space="0" w:color="000000"/>
              <w:left w:val="single" w:sz="4" w:space="0" w:color="000000"/>
              <w:bottom w:val="single" w:sz="4" w:space="0" w:color="000000"/>
              <w:right w:val="single" w:sz="4" w:space="0" w:color="000000"/>
            </w:tcBorders>
          </w:tcPr>
          <w:p w14:paraId="47189BAF" w14:textId="77777777" w:rsidR="00484C07" w:rsidRPr="00DF5A38" w:rsidRDefault="00000000">
            <w:pPr>
              <w:spacing w:after="0"/>
              <w:rPr>
                <w:sz w:val="24"/>
                <w:szCs w:val="28"/>
              </w:rPr>
            </w:pPr>
            <w:r w:rsidRPr="00DF5A38">
              <w:rPr>
                <w:sz w:val="22"/>
                <w:szCs w:val="28"/>
              </w:rPr>
              <w:t>Explains the case while keeping human review in control.</w:t>
            </w:r>
          </w:p>
        </w:tc>
      </w:tr>
    </w:tbl>
    <w:p w14:paraId="68B5D919" w14:textId="564D622B" w:rsidR="00484C07" w:rsidRPr="00DF5A38" w:rsidRDefault="00000000">
      <w:pPr>
        <w:pStyle w:val="Heading1"/>
        <w:spacing w:after="20"/>
        <w:rPr>
          <w:sz w:val="28"/>
          <w:szCs w:val="36"/>
        </w:rPr>
      </w:pPr>
      <w:r w:rsidRPr="00DF5A38">
        <w:rPr>
          <w:sz w:val="28"/>
          <w:szCs w:val="36"/>
        </w:rPr>
        <w:t>Opportunities and threats for Cotiviti</w:t>
      </w:r>
      <w:r w:rsidR="00DF5A38">
        <w:rPr>
          <w:sz w:val="28"/>
          <w:szCs w:val="36"/>
        </w:rPr>
        <w:t>:</w:t>
      </w:r>
    </w:p>
    <w:p w14:paraId="0E1C61FA" w14:textId="71E75C21" w:rsidR="00DF5A38" w:rsidRPr="00DF5A38" w:rsidRDefault="00000000" w:rsidP="00DF5A38">
      <w:pPr>
        <w:spacing w:after="60" w:line="240" w:lineRule="auto"/>
        <w:jc w:val="both"/>
        <w:rPr>
          <w:sz w:val="24"/>
          <w:szCs w:val="28"/>
        </w:rPr>
      </w:pPr>
      <w:r w:rsidRPr="00DF5A38">
        <w:rPr>
          <w:sz w:val="24"/>
          <w:szCs w:val="28"/>
        </w:rPr>
        <w:t>The opportunity for Cotiviti is not to jump directly to autonomous claim decisions. A stronger investment would be a governed reviewer-assist product line: policy-grounded summaries, claim prioritization, documentation gap detection, pattern clusters, time-series operations signals, and clear audit traces. This could support payment integrity teams by reducing time spent assembling context and increasing consistency in the first review pass. It could also help operations leaders see when a certain procedure or provider setting is producing unusual volume or documentation gaps.</w:t>
      </w:r>
    </w:p>
    <w:p w14:paraId="488408B9" w14:textId="77777777" w:rsidR="00484C07" w:rsidRPr="00DF5A38" w:rsidRDefault="00000000" w:rsidP="00DF5A38">
      <w:pPr>
        <w:spacing w:after="60" w:line="240" w:lineRule="auto"/>
        <w:jc w:val="both"/>
        <w:rPr>
          <w:sz w:val="24"/>
          <w:szCs w:val="28"/>
        </w:rPr>
      </w:pPr>
      <w:r w:rsidRPr="00DF5A38">
        <w:rPr>
          <w:sz w:val="24"/>
          <w:szCs w:val="28"/>
        </w:rPr>
        <w:t>The threats are just as important. A GenAI tool that hallucinates policy, hides model uncertainty, or encourages automatic denial would create legal, operational, and reputational risk. A black-box score without evidence would also be weak in a healthcare environment. The safest position is to treat GenAI as a reasoning and summarization layer sitting on top of constrained retrieval, traditional ML, explainability, and workflow rules. The strategic question is not 'Can the model decide?' It is 'Can the system help the reviewer decide faster while leaving an inspectable trail?'</w:t>
      </w:r>
    </w:p>
    <w:p w14:paraId="0C4F6E63" w14:textId="71BBF32B" w:rsidR="00484C07" w:rsidRPr="00DF5A38" w:rsidRDefault="00000000">
      <w:pPr>
        <w:pStyle w:val="Heading1"/>
        <w:spacing w:after="20"/>
        <w:rPr>
          <w:sz w:val="28"/>
          <w:szCs w:val="36"/>
        </w:rPr>
      </w:pPr>
      <w:r w:rsidRPr="00DF5A38">
        <w:rPr>
          <w:sz w:val="28"/>
          <w:szCs w:val="36"/>
        </w:rPr>
        <w:t>Recommended strategic options</w:t>
      </w:r>
      <w:r w:rsidR="00DF5A38">
        <w:rPr>
          <w:sz w:val="28"/>
          <w:szCs w:val="36"/>
        </w:rPr>
        <w:t>:</w:t>
      </w:r>
    </w:p>
    <w:p w14:paraId="5E4A82E3" w14:textId="77777777" w:rsidR="00484C07" w:rsidRPr="00DF5A38" w:rsidRDefault="00000000" w:rsidP="00DF5A38">
      <w:pPr>
        <w:spacing w:after="60" w:line="240" w:lineRule="auto"/>
        <w:jc w:val="both"/>
        <w:rPr>
          <w:sz w:val="24"/>
          <w:szCs w:val="28"/>
        </w:rPr>
      </w:pPr>
      <w:r w:rsidRPr="00DF5A38">
        <w:rPr>
          <w:sz w:val="24"/>
          <w:szCs w:val="28"/>
        </w:rPr>
        <w:t>My recommendation is for Cotiviti to explore three staged investments. First, build a synthetic-data sandbox for TPO review workflows. This lets researchers test agentic patterns without PHI and without touching production claims. Second, pilot a narrow reviewer-assist workflow in one area such as documentation completeness for wound care, imaging, or inpatient review. The goal should be speed-to-context, not auto-denial. Third, define an AI review record: the case facts used, policy passages retrieved, model signals, explanation, user question history, and final human action. That record could become the foundation for quality review, customer trust, and model improvement.</w:t>
      </w:r>
    </w:p>
    <w:p w14:paraId="6B8C1DC5" w14:textId="2B6127FD" w:rsidR="00484C07" w:rsidRPr="00DF5A38" w:rsidRDefault="00DF5A38" w:rsidP="00DF5A38">
      <w:pPr>
        <w:spacing w:after="60" w:line="240" w:lineRule="auto"/>
        <w:jc w:val="both"/>
        <w:rPr>
          <w:sz w:val="24"/>
          <w:szCs w:val="28"/>
        </w:rPr>
      </w:pPr>
      <w:r>
        <w:rPr>
          <w:noProof/>
          <w:sz w:val="24"/>
          <w:szCs w:val="28"/>
        </w:rPr>
        <mc:AlternateContent>
          <mc:Choice Requires="wps">
            <w:drawing>
              <wp:anchor distT="0" distB="0" distL="114300" distR="114300" simplePos="0" relativeHeight="251660288" behindDoc="0" locked="0" layoutInCell="1" allowOverlap="1" wp14:anchorId="4947E30F" wp14:editId="7B124E3F">
                <wp:simplePos x="0" y="0"/>
                <wp:positionH relativeFrom="column">
                  <wp:posOffset>2740025</wp:posOffset>
                </wp:positionH>
                <wp:positionV relativeFrom="paragraph">
                  <wp:posOffset>697230</wp:posOffset>
                </wp:positionV>
                <wp:extent cx="1028700" cy="281940"/>
                <wp:effectExtent l="0" t="0" r="19050" b="22860"/>
                <wp:wrapNone/>
                <wp:docPr id="405033005" name="Text Box 4"/>
                <wp:cNvGraphicFramePr/>
                <a:graphic xmlns:a="http://schemas.openxmlformats.org/drawingml/2006/main">
                  <a:graphicData uri="http://schemas.microsoft.com/office/word/2010/wordprocessingShape">
                    <wps:wsp>
                      <wps:cNvSpPr txBox="1"/>
                      <wps:spPr>
                        <a:xfrm>
                          <a:off x="0" y="0"/>
                          <a:ext cx="1028700" cy="281940"/>
                        </a:xfrm>
                        <a:prstGeom prst="rect">
                          <a:avLst/>
                        </a:prstGeom>
                        <a:solidFill>
                          <a:schemeClr val="lt1"/>
                        </a:solidFill>
                        <a:ln w="6350">
                          <a:solidFill>
                            <a:schemeClr val="bg1"/>
                          </a:solidFill>
                        </a:ln>
                      </wps:spPr>
                      <wps:txbx>
                        <w:txbxContent>
                          <w:p w14:paraId="3CDA05B8" w14:textId="71F6A339" w:rsidR="00DF5A38" w:rsidRDefault="00DF5A38" w:rsidP="00DF5A38">
                            <w:pPr>
                              <w:jc w:val="center"/>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7E30F" id="Text Box 4" o:spid="_x0000_s1027" type="#_x0000_t202" style="position:absolute;left:0;text-align:left;margin-left:215.75pt;margin-top:54.9pt;width:81pt;height:22.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8SdNgIAAIMEAAAOAAAAZHJzL2Uyb0RvYy54bWysVE1v2zAMvQ/YfxB0X+xkaZsGcYosRYYB&#10;RVsgHXpWZCk2IIuaxMTOfv0o5bNdT8MuMilSj+Qj6cld1xi2VT7UYAve7+WcKSuhrO264D9fFl9G&#10;nAUUthQGrCr4TgV+N/38adK6sRpABaZUnhGIDePWFbxCdOMsC7JSjQg9cMqSUYNvBJLq11npRUvo&#10;jckGeX6dteBL50GqEOj2fm/k04SvtZL4pHVQyEzBKTdMp0/nKp7ZdCLGay9cVctDGuIfsmhEbSno&#10;CepeoGAbX/8F1dTSQwCNPQlNBlrXUqUaqJp+/q6aZSWcSrUQOcGdaAr/D1Y+bpfu2TPsvkFHDYyE&#10;tC6MA13Gejrtm/ilTBnZicLdiTbVIZPxUT4Y3eRkkmQbjPq3w8Rrdn7tfMDvChoWhYJ7aktiS2wf&#10;AlJEcj26xGABTF0uamOSEkdBzY1nW0FNNJhypBdvvIxlbcGvv17lCfiNLQ3TGWG1/gCB8IylRM61&#10;Rwm7Vcfq8oKXFZQ7osvDfpKCk4uaanoQAZ+Fp9EhGmgd8IkObYBygoPEWQX+90f30Z86SlbOWhrF&#10;godfG+EVZ+aHpV7f9ofEKMOkDK9uBqT4S8vq0mI3zRyIqD4tnpNJjP5ojqL20LzS1sxiVDIJKyl2&#10;wfEoznG/ILR1Us1myYmm1Ql8sEsnI3RsTOzYS/cqvDu0FWkgHuE4tGL8rrt73/jSwmyDoOvU+sjz&#10;ntUD/TTpaSIOWxlX6VJPXud/x/QPAAAA//8DAFBLAwQUAAYACAAAACEATBdKrd8AAAALAQAADwAA&#10;AGRycy9kb3ducmV2LnhtbEyPQUvDQBCF74L/YRnBm920SaSN2ZSgiKAFsfbS2zQZk2B2NmS3bfrv&#10;HU96nPc+3ryXryfbqxONvnNsYD6LQBFXru64MbD7fL5bgvIBucbeMRm4kId1cX2VY1a7M3/QaRsa&#10;JSHsMzTQhjBkWvuqJYt+5gZi8b7caDHIOTa6HvEs4bbXiyi61xY7lg8tDvTYUvW9PVoDr8ken+Lw&#10;RpfA03tZviyHxG+Mub2ZygdQgabwB8NvfakOhXQ6uCPXXvUGknieCipGtJINQqSrWJSDKGmyAF3k&#10;+v+G4gcAAP//AwBQSwECLQAUAAYACAAAACEAtoM4kv4AAADhAQAAEwAAAAAAAAAAAAAAAAAAAAAA&#10;W0NvbnRlbnRfVHlwZXNdLnhtbFBLAQItABQABgAIAAAAIQA4/SH/1gAAAJQBAAALAAAAAAAAAAAA&#10;AAAAAC8BAABfcmVscy8ucmVsc1BLAQItABQABgAIAAAAIQD8P8SdNgIAAIMEAAAOAAAAAAAAAAAA&#10;AAAAAC4CAABkcnMvZTJvRG9jLnhtbFBLAQItABQABgAIAAAAIQBMF0qt3wAAAAsBAAAPAAAAAAAA&#10;AAAAAAAAAJAEAABkcnMvZG93bnJldi54bWxQSwUGAAAAAAQABADzAAAAnAUAAAAA&#10;" fillcolor="white [3201]" strokecolor="white [3212]" strokeweight=".5pt">
                <v:textbox>
                  <w:txbxContent>
                    <w:p w14:paraId="3CDA05B8" w14:textId="71F6A339" w:rsidR="00DF5A38" w:rsidRDefault="00DF5A38" w:rsidP="00DF5A38">
                      <w:pPr>
                        <w:jc w:val="center"/>
                      </w:pPr>
                      <w:r>
                        <w:t>2</w:t>
                      </w:r>
                    </w:p>
                  </w:txbxContent>
                </v:textbox>
              </v:shape>
            </w:pict>
          </mc:Fallback>
        </mc:AlternateContent>
      </w:r>
      <w:r w:rsidR="00000000" w:rsidRPr="00DF5A38">
        <w:rPr>
          <w:sz w:val="24"/>
          <w:szCs w:val="28"/>
        </w:rPr>
        <w:t>My prototype is small, but it supports that investment path. It shows how a TPO review assistant can combine retrieval, classification, clustering, anomaly detection, time-series monitoring, LLM reasoning, and governance in one workflow. More importantly, it shows the posture I believe matters for healthcare GenAI research: be useful, be inspectable, and never let the AI outrun the reviewer.</w:t>
      </w:r>
    </w:p>
    <w:p w14:paraId="795376B0" w14:textId="57122A20" w:rsidR="00DF5A38" w:rsidRPr="00DF5A38" w:rsidRDefault="00000000" w:rsidP="00DF5A38">
      <w:pPr>
        <w:rPr>
          <w:sz w:val="28"/>
          <w:szCs w:val="32"/>
        </w:rPr>
      </w:pPr>
      <w:r w:rsidRPr="00DF5A38">
        <w:rPr>
          <w:sz w:val="24"/>
          <w:szCs w:val="28"/>
        </w:rPr>
        <w:br w:type="page"/>
      </w:r>
      <w:r w:rsidR="00DF5A38" w:rsidRPr="00DF5A38">
        <w:rPr>
          <w:b/>
          <w:sz w:val="32"/>
          <w:szCs w:val="28"/>
        </w:rPr>
        <w:lastRenderedPageBreak/>
        <w:t>References</w:t>
      </w:r>
    </w:p>
    <w:p w14:paraId="11FD2FAF" w14:textId="77777777" w:rsidR="00DF5A38" w:rsidRPr="00DF5A38" w:rsidRDefault="00DF5A38" w:rsidP="00DF5A38">
      <w:pPr>
        <w:pStyle w:val="ListParagraph"/>
        <w:numPr>
          <w:ilvl w:val="0"/>
          <w:numId w:val="10"/>
        </w:numPr>
        <w:spacing w:after="120" w:line="240" w:lineRule="auto"/>
        <w:rPr>
          <w:sz w:val="24"/>
          <w:szCs w:val="28"/>
        </w:rPr>
      </w:pPr>
      <w:r w:rsidRPr="00DF5A38">
        <w:rPr>
          <w:sz w:val="24"/>
          <w:szCs w:val="28"/>
        </w:rPr>
        <w:t>Centers for Medicare &amp; Medicaid Services. (2024, November 15). Fiscal Year 2024 improper payments fact sheet. https://www.cms.gov/newsroom/fact-sheets/fiscal-year-2024-improper-payments-fact-sheet</w:t>
      </w:r>
    </w:p>
    <w:p w14:paraId="391AF5DC" w14:textId="2F3E6462" w:rsidR="00DF5A38" w:rsidRPr="00DF5A38" w:rsidRDefault="00DF5A38" w:rsidP="00DF5A38">
      <w:pPr>
        <w:pStyle w:val="ListParagraph"/>
        <w:numPr>
          <w:ilvl w:val="0"/>
          <w:numId w:val="10"/>
        </w:numPr>
        <w:spacing w:after="120" w:line="240" w:lineRule="auto"/>
        <w:rPr>
          <w:sz w:val="24"/>
          <w:szCs w:val="28"/>
        </w:rPr>
      </w:pPr>
      <w:r w:rsidRPr="00DF5A38">
        <w:rPr>
          <w:sz w:val="24"/>
          <w:szCs w:val="28"/>
        </w:rPr>
        <w:t>Cotiviti. (n.d.). Healthcare claim payment accuracy solutions.</w:t>
      </w:r>
      <w:r w:rsidRPr="00DF5A38">
        <w:rPr>
          <w:sz w:val="24"/>
          <w:szCs w:val="28"/>
        </w:rPr>
        <w:t xml:space="preserve"> </w:t>
      </w:r>
      <w:r w:rsidRPr="00DF5A38">
        <w:rPr>
          <w:sz w:val="24"/>
          <w:szCs w:val="28"/>
        </w:rPr>
        <w:t>https://www.cotiviti.com/solutions/payment-accuracy</w:t>
      </w:r>
    </w:p>
    <w:p w14:paraId="5A56D5FB" w14:textId="77777777" w:rsidR="00DF5A38" w:rsidRPr="00DF5A38" w:rsidRDefault="00DF5A38" w:rsidP="00DF5A38">
      <w:pPr>
        <w:pStyle w:val="ListParagraph"/>
        <w:numPr>
          <w:ilvl w:val="0"/>
          <w:numId w:val="10"/>
        </w:numPr>
        <w:spacing w:after="120" w:line="240" w:lineRule="auto"/>
        <w:rPr>
          <w:sz w:val="24"/>
          <w:szCs w:val="28"/>
        </w:rPr>
      </w:pPr>
      <w:r w:rsidRPr="00DF5A38">
        <w:rPr>
          <w:sz w:val="24"/>
          <w:szCs w:val="28"/>
        </w:rPr>
        <w:t>Government Accountability Office. (2025). Medicaid managed care: Improper payment estimate (GAO-25-107770). https://www.gao.gov/products/gao-25-107770</w:t>
      </w:r>
    </w:p>
    <w:p w14:paraId="505BEEF3" w14:textId="77777777" w:rsidR="00DF5A38" w:rsidRPr="00DF5A38" w:rsidRDefault="00DF5A38" w:rsidP="00DF5A38">
      <w:pPr>
        <w:pStyle w:val="ListParagraph"/>
        <w:numPr>
          <w:ilvl w:val="0"/>
          <w:numId w:val="10"/>
        </w:numPr>
        <w:spacing w:after="120" w:line="240" w:lineRule="auto"/>
        <w:rPr>
          <w:sz w:val="24"/>
          <w:szCs w:val="28"/>
        </w:rPr>
      </w:pPr>
      <w:r w:rsidRPr="00DF5A38">
        <w:rPr>
          <w:sz w:val="24"/>
          <w:szCs w:val="28"/>
        </w:rPr>
        <w:t>National Institute of Standards and Technology. (2024). Artificial Intelligence Risk Management Framework: Generative Artificial Intelligence Profile (NIST AI 600-1). https://www.nist.gov/publications/artificial-intelligence-risk-management-framework-generative-artificial-intelligence</w:t>
      </w:r>
    </w:p>
    <w:p w14:paraId="71EAC846" w14:textId="77777777" w:rsidR="00DF5A38" w:rsidRPr="00DF5A38" w:rsidRDefault="00DF5A38" w:rsidP="00DF5A38">
      <w:pPr>
        <w:pStyle w:val="ListParagraph"/>
        <w:numPr>
          <w:ilvl w:val="0"/>
          <w:numId w:val="10"/>
        </w:numPr>
        <w:spacing w:after="120" w:line="240" w:lineRule="auto"/>
        <w:rPr>
          <w:sz w:val="24"/>
          <w:szCs w:val="28"/>
        </w:rPr>
      </w:pPr>
      <w:r w:rsidRPr="00DF5A38">
        <w:rPr>
          <w:sz w:val="24"/>
          <w:szCs w:val="28"/>
        </w:rPr>
        <w:t>Office of the National Coordinator for Health Information Technology. (2024). Health Data, Technology, and Interoperability: Certification Program Updates, Algorithm Transparency, and Information Sharing (HTI-1) final rule. https://healthit.gov/regulations/hti-rules/hti-1-final-rule/</w:t>
      </w:r>
    </w:p>
    <w:p w14:paraId="436DA777" w14:textId="1E5FCA31" w:rsidR="00484C07" w:rsidRPr="00DF5A38" w:rsidRDefault="00DF5A38">
      <w:pPr>
        <w:spacing w:after="120" w:line="240" w:lineRule="auto"/>
        <w:ind w:left="360" w:hanging="360"/>
        <w:rPr>
          <w:sz w:val="24"/>
          <w:szCs w:val="28"/>
        </w:rPr>
      </w:pPr>
      <w:r>
        <w:rPr>
          <w:noProof/>
          <w:sz w:val="24"/>
          <w:szCs w:val="28"/>
        </w:rPr>
        <mc:AlternateContent>
          <mc:Choice Requires="wps">
            <w:drawing>
              <wp:anchor distT="0" distB="0" distL="114300" distR="114300" simplePos="0" relativeHeight="251661312" behindDoc="0" locked="0" layoutInCell="1" allowOverlap="1" wp14:anchorId="5BDC70A6" wp14:editId="55312409">
                <wp:simplePos x="0" y="0"/>
                <wp:positionH relativeFrom="column">
                  <wp:posOffset>2717165</wp:posOffset>
                </wp:positionH>
                <wp:positionV relativeFrom="paragraph">
                  <wp:posOffset>5833110</wp:posOffset>
                </wp:positionV>
                <wp:extent cx="1089660" cy="388620"/>
                <wp:effectExtent l="0" t="0" r="15240" b="11430"/>
                <wp:wrapNone/>
                <wp:docPr id="1326826470" name="Text Box 5"/>
                <wp:cNvGraphicFramePr/>
                <a:graphic xmlns:a="http://schemas.openxmlformats.org/drawingml/2006/main">
                  <a:graphicData uri="http://schemas.microsoft.com/office/word/2010/wordprocessingShape">
                    <wps:wsp>
                      <wps:cNvSpPr txBox="1"/>
                      <wps:spPr>
                        <a:xfrm>
                          <a:off x="0" y="0"/>
                          <a:ext cx="1089660" cy="388620"/>
                        </a:xfrm>
                        <a:prstGeom prst="rect">
                          <a:avLst/>
                        </a:prstGeom>
                        <a:solidFill>
                          <a:schemeClr val="lt1"/>
                        </a:solidFill>
                        <a:ln w="6350">
                          <a:solidFill>
                            <a:schemeClr val="bg1"/>
                          </a:solidFill>
                        </a:ln>
                      </wps:spPr>
                      <wps:txbx>
                        <w:txbxContent>
                          <w:p w14:paraId="50C9EF1C" w14:textId="204BC2FA" w:rsidR="00DF5A38" w:rsidRDefault="00DF5A38" w:rsidP="00DF5A38">
                            <w:pPr>
                              <w:jc w:val="center"/>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DC70A6" id="Text Box 5" o:spid="_x0000_s1028" type="#_x0000_t202" style="position:absolute;left:0;text-align:left;margin-left:213.95pt;margin-top:459.3pt;width:85.8pt;height:30.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tMOAIAAIMEAAAOAAAAZHJzL2Uyb0RvYy54bWysVE1v2zAMvQ/YfxB0X+ykaZYacYosRYYB&#10;QVsgHXpWZCkWIIuapMTOfv0o5bNdT8MuMiVST+Tjoyf3XaPJTjivwJS038spEYZDpcympD9fFl/G&#10;lPjATMU0GFHSvfD0fvr506S1hRhADboSjiCI8UVrS1qHYIss87wWDfM9sMKgU4JrWMCt22SVYy2i&#10;Nzob5Pkoa8FV1gEX3uPpw8FJpwlfSsHDk5ReBKJLirmFtLq0ruOaTSes2Dhma8WPabB/yKJhyuCj&#10;Z6gHFhjZOvUXVKO4Aw8y9Dg0GUipuEg1YDX9/F01q5pZkWpBcrw90+T/Hyx/3K3ssyOh+wYdNjAS&#10;0lpfeDyM9XTSNfGLmRL0I4X7M22iC4THS/n4bjRCF0ffzXg8GiRes8tt63z4LqAh0Sipw7Yktthu&#10;6QO+iKGnkPiYB62qhdI6baIUxFw7smPYRB1SjnjjTZQ2pC3p6OY2T8BvfElMF4T15gMExNMGE7nU&#10;Hq3QrTuiqpIOTrysodojXQ4OSvKWLxTWtGQ+PDOH0kEacBzCEy5SA+YER4uSGtzvj85jPHYUvZS0&#10;KMWS+l9b5gQl+ofBXt/1h8Oo3bQZ3n5Feom79qyvPWbbzAGJ6uPgWZ7MGB/0yZQOmlecmll8FV3M&#10;cHy7pOFkzsNhQHDquJjNUhCq1bKwNCvLI3RsTOzYS/fKnD22NaAgHuEkWla86+4hNt40MNsGkCq1&#10;PvJ8YPVIPyo9KeI4lXGUrvcp6vLvmP4BAAD//wMAUEsDBBQABgAIAAAAIQDcl2N/4QAAAAsBAAAP&#10;AAAAZHJzL2Rvd25yZXYueG1sTI/BTsMwDIbvSLxDZCRuLN3otqY0nSoQQmJIiMGFm9eYtqJxqibb&#10;urcnnOBo+9Pv7y82k+3FkUbfOdYwnyUgiGtnOm40fLw/3mQgfEA22DsmDWfysCkvLwrMjTvxGx13&#10;oRExhH2OGtoQhlxKX7dk0c/cQBxvX260GOI4NtKMeIrhtpeLJFlJix3HDy0OdN9S/b07WA3P6Sc+&#10;3IYtnQNPr1X1lA2pf9H6+mqq7kAEmsIfDL/6UR3K6LR3BzZe9BrSxVpFVIOaZysQkVgqtQSxj5u1&#10;ykCWhfzfofwBAAD//wMAUEsBAi0AFAAGAAgAAAAhALaDOJL+AAAA4QEAABMAAAAAAAAAAAAAAAAA&#10;AAAAAFtDb250ZW50X1R5cGVzXS54bWxQSwECLQAUAAYACAAAACEAOP0h/9YAAACUAQAACwAAAAAA&#10;AAAAAAAAAAAvAQAAX3JlbHMvLnJlbHNQSwECLQAUAAYACAAAACEArWirTDgCAACDBAAADgAAAAAA&#10;AAAAAAAAAAAuAgAAZHJzL2Uyb0RvYy54bWxQSwECLQAUAAYACAAAACEA3Jdjf+EAAAALAQAADwAA&#10;AAAAAAAAAAAAAACSBAAAZHJzL2Rvd25yZXYueG1sUEsFBgAAAAAEAAQA8wAAAKAFAAAAAA==&#10;" fillcolor="white [3201]" strokecolor="white [3212]" strokeweight=".5pt">
                <v:textbox>
                  <w:txbxContent>
                    <w:p w14:paraId="50C9EF1C" w14:textId="204BC2FA" w:rsidR="00DF5A38" w:rsidRDefault="00DF5A38" w:rsidP="00DF5A38">
                      <w:pPr>
                        <w:jc w:val="center"/>
                      </w:pPr>
                      <w:r>
                        <w:t>3</w:t>
                      </w:r>
                    </w:p>
                  </w:txbxContent>
                </v:textbox>
              </v:shape>
            </w:pict>
          </mc:Fallback>
        </mc:AlternateContent>
      </w:r>
    </w:p>
    <w:sectPr w:rsidR="00484C07" w:rsidRPr="00DF5A38" w:rsidSect="00034616">
      <w:footerReference w:type="default" r:id="rId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FC960" w14:textId="77777777" w:rsidR="00824578" w:rsidRDefault="00824578">
      <w:pPr>
        <w:spacing w:after="0" w:line="240" w:lineRule="auto"/>
      </w:pPr>
      <w:r>
        <w:separator/>
      </w:r>
    </w:p>
  </w:endnote>
  <w:endnote w:type="continuationSeparator" w:id="0">
    <w:p w14:paraId="16E31B5B" w14:textId="77777777" w:rsidR="00824578" w:rsidRDefault="00824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9759" w14:textId="77777777" w:rsidR="00484C07" w:rsidRDefault="00000000">
    <w:pPr>
      <w:pStyle w:val="Footer"/>
      <w:jc w:val="center"/>
    </w:pPr>
    <w:r>
      <w:rPr>
        <w:sz w:val="16"/>
      </w:rPr>
      <w:t>TPO Agent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CDF7" w14:textId="77777777" w:rsidR="00824578" w:rsidRDefault="00824578">
      <w:pPr>
        <w:spacing w:after="0" w:line="240" w:lineRule="auto"/>
      </w:pPr>
      <w:r>
        <w:separator/>
      </w:r>
    </w:p>
  </w:footnote>
  <w:footnote w:type="continuationSeparator" w:id="0">
    <w:p w14:paraId="1F27A716" w14:textId="77777777" w:rsidR="00824578" w:rsidRDefault="00824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E478F1"/>
    <w:multiLevelType w:val="hybridMultilevel"/>
    <w:tmpl w:val="F42C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0837495">
    <w:abstractNumId w:val="8"/>
  </w:num>
  <w:num w:numId="2" w16cid:durableId="2133016353">
    <w:abstractNumId w:val="6"/>
  </w:num>
  <w:num w:numId="3" w16cid:durableId="1225720235">
    <w:abstractNumId w:val="5"/>
  </w:num>
  <w:num w:numId="4" w16cid:durableId="1829322000">
    <w:abstractNumId w:val="4"/>
  </w:num>
  <w:num w:numId="5" w16cid:durableId="668025098">
    <w:abstractNumId w:val="7"/>
  </w:num>
  <w:num w:numId="6" w16cid:durableId="1528179763">
    <w:abstractNumId w:val="3"/>
  </w:num>
  <w:num w:numId="7" w16cid:durableId="1910651448">
    <w:abstractNumId w:val="2"/>
  </w:num>
  <w:num w:numId="8" w16cid:durableId="919602739">
    <w:abstractNumId w:val="1"/>
  </w:num>
  <w:num w:numId="9" w16cid:durableId="515577516">
    <w:abstractNumId w:val="0"/>
  </w:num>
  <w:num w:numId="10" w16cid:durableId="384179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82A"/>
    <w:rsid w:val="0029639D"/>
    <w:rsid w:val="00326F90"/>
    <w:rsid w:val="00484C07"/>
    <w:rsid w:val="005B7F84"/>
    <w:rsid w:val="00824578"/>
    <w:rsid w:val="00AA1D8D"/>
    <w:rsid w:val="00B47730"/>
    <w:rsid w:val="00CB0664"/>
    <w:rsid w:val="00DF5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F653A"/>
  <w14:defaultImageDpi w14:val="300"/>
  <w15:docId w15:val="{128A2078-070B-4924-8742-484B975F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F5A38"/>
    <w:rPr>
      <w:color w:val="0000FF" w:themeColor="hyperlink"/>
      <w:u w:val="single"/>
    </w:rPr>
  </w:style>
  <w:style w:type="character" w:styleId="UnresolvedMention">
    <w:name w:val="Unresolved Mention"/>
    <w:basedOn w:val="DefaultParagraphFont"/>
    <w:uiPriority w:val="99"/>
    <w:semiHidden/>
    <w:unhideWhenUsed/>
    <w:rsid w:val="00DF5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1260</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Addanki Veerababu</cp:lastModifiedBy>
  <cp:revision>2</cp:revision>
  <dcterms:created xsi:type="dcterms:W3CDTF">2013-12-23T23:15:00Z</dcterms:created>
  <dcterms:modified xsi:type="dcterms:W3CDTF">2026-06-28T01:46:00Z</dcterms:modified>
  <cp:category/>
</cp:coreProperties>
</file>