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DB4" w14:textId="77777777" w:rsidR="002D719F" w:rsidRPr="00764473" w:rsidRDefault="002D719F" w:rsidP="00980FA5">
      <w:pPr>
        <w:widowControl w:val="0"/>
        <w:ind w:right="258"/>
        <w:jc w:val="right"/>
        <w:rPr>
          <w:snapToGrid w:val="0"/>
          <w:color w:val="000000"/>
          <w:sz w:val="24"/>
          <w:szCs w:val="24"/>
        </w:rPr>
      </w:pPr>
      <w:r w:rsidRPr="00764473">
        <w:rPr>
          <w:snapToGrid w:val="0"/>
          <w:color w:val="000000"/>
          <w:sz w:val="24"/>
          <w:szCs w:val="24"/>
        </w:rPr>
        <w:t>To:</w:t>
      </w:r>
    </w:p>
    <w:p w14:paraId="1D1A51F0" w14:textId="77777777" w:rsidR="002D719F" w:rsidRPr="00764473" w:rsidRDefault="002D719F" w:rsidP="00980FA5">
      <w:pPr>
        <w:widowControl w:val="0"/>
        <w:ind w:right="258"/>
        <w:jc w:val="right"/>
        <w:rPr>
          <w:snapToGrid w:val="0"/>
          <w:color w:val="000000"/>
          <w:sz w:val="24"/>
          <w:szCs w:val="24"/>
        </w:rPr>
      </w:pPr>
      <w:r w:rsidRPr="00764473">
        <w:rPr>
          <w:snapToGrid w:val="0"/>
          <w:color w:val="000000"/>
          <w:sz w:val="24"/>
          <w:szCs w:val="24"/>
        </w:rPr>
        <w:t>From:</w:t>
      </w:r>
    </w:p>
    <w:p w14:paraId="15C629BA" w14:textId="77777777" w:rsidR="002D719F" w:rsidRPr="00764473" w:rsidRDefault="002D719F" w:rsidP="00980FA5">
      <w:pPr>
        <w:widowControl w:val="0"/>
        <w:ind w:right="258"/>
        <w:jc w:val="right"/>
        <w:rPr>
          <w:snapToGrid w:val="0"/>
          <w:color w:val="000000"/>
          <w:sz w:val="24"/>
          <w:szCs w:val="24"/>
        </w:rPr>
      </w:pPr>
      <w:r w:rsidRPr="00764473">
        <w:rPr>
          <w:snapToGrid w:val="0"/>
          <w:color w:val="000000"/>
          <w:sz w:val="24"/>
          <w:szCs w:val="24"/>
        </w:rPr>
        <w:t>Subject:</w:t>
      </w:r>
    </w:p>
    <w:p w14:paraId="6E3B750C" w14:textId="77777777" w:rsidR="002D719F" w:rsidRPr="00764473" w:rsidRDefault="002D719F" w:rsidP="00980FA5">
      <w:pPr>
        <w:widowControl w:val="0"/>
        <w:ind w:right="258"/>
        <w:jc w:val="right"/>
        <w:rPr>
          <w:snapToGrid w:val="0"/>
          <w:color w:val="000000"/>
          <w:sz w:val="24"/>
          <w:szCs w:val="24"/>
        </w:rPr>
      </w:pPr>
      <w:r w:rsidRPr="00764473">
        <w:rPr>
          <w:snapToGrid w:val="0"/>
          <w:color w:val="000000"/>
          <w:sz w:val="24"/>
          <w:szCs w:val="24"/>
        </w:rPr>
        <w:t>Date:</w:t>
      </w:r>
    </w:p>
    <w:p w14:paraId="7A063B33" w14:textId="58C1F72F" w:rsidR="002D719F" w:rsidRPr="00764473" w:rsidRDefault="00980FA5" w:rsidP="00980FA5">
      <w:pPr>
        <w:widowControl w:val="0"/>
        <w:ind w:left="90"/>
        <w:rPr>
          <w:snapToGrid w:val="0"/>
          <w:color w:val="000000"/>
          <w:sz w:val="24"/>
          <w:szCs w:val="24"/>
        </w:rPr>
      </w:pPr>
      <w:r w:rsidRPr="00764473">
        <w:rPr>
          <w:snapToGrid w:val="0"/>
          <w:color w:val="000000"/>
          <w:sz w:val="24"/>
          <w:szCs w:val="24"/>
        </w:rPr>
        <w:t>Professor Roe</w:t>
      </w:r>
    </w:p>
    <w:p w14:paraId="5C1A1ED1" w14:textId="33A63661" w:rsidR="002D719F" w:rsidRPr="00764473" w:rsidRDefault="00980FA5" w:rsidP="00980FA5">
      <w:pPr>
        <w:widowControl w:val="0"/>
        <w:ind w:left="90"/>
        <w:rPr>
          <w:snapToGrid w:val="0"/>
          <w:color w:val="000000"/>
          <w:sz w:val="24"/>
          <w:szCs w:val="24"/>
        </w:rPr>
      </w:pPr>
      <w:r w:rsidRPr="00764473">
        <w:rPr>
          <w:snapToGrid w:val="0"/>
          <w:color w:val="000000"/>
          <w:sz w:val="24"/>
          <w:szCs w:val="24"/>
        </w:rPr>
        <w:t>Adhem Azzabi</w:t>
      </w:r>
    </w:p>
    <w:p w14:paraId="711D2B8A" w14:textId="4E759FEB" w:rsidR="002D719F" w:rsidRPr="00764473" w:rsidRDefault="00980FA5" w:rsidP="00980FA5">
      <w:pPr>
        <w:widowControl w:val="0"/>
        <w:ind w:left="90"/>
        <w:rPr>
          <w:snapToGrid w:val="0"/>
          <w:color w:val="000000"/>
          <w:sz w:val="24"/>
          <w:szCs w:val="24"/>
        </w:rPr>
      </w:pPr>
      <w:r w:rsidRPr="00764473">
        <w:rPr>
          <w:snapToGrid w:val="0"/>
          <w:color w:val="000000"/>
          <w:sz w:val="24"/>
          <w:szCs w:val="24"/>
        </w:rPr>
        <w:t>Chapter 1 Assignment</w:t>
      </w:r>
    </w:p>
    <w:p w14:paraId="5F9F7E4D" w14:textId="3B6333E8" w:rsidR="002D719F" w:rsidRPr="00764473" w:rsidRDefault="00980FA5" w:rsidP="00980FA5">
      <w:pPr>
        <w:widowControl w:val="0"/>
        <w:ind w:left="90"/>
        <w:rPr>
          <w:snapToGrid w:val="0"/>
          <w:color w:val="000000"/>
          <w:sz w:val="24"/>
          <w:szCs w:val="24"/>
        </w:rPr>
        <w:sectPr w:rsidR="002D719F" w:rsidRPr="00764473" w:rsidSect="000F132A">
          <w:type w:val="continuous"/>
          <w:pgSz w:w="12240" w:h="15840"/>
          <w:pgMar w:top="1440" w:right="1440" w:bottom="1440" w:left="1440" w:header="720" w:footer="720" w:gutter="0"/>
          <w:cols w:num="2" w:space="144" w:equalWidth="0">
            <w:col w:w="1078" w:space="2"/>
            <w:col w:w="8280"/>
          </w:cols>
          <w:noEndnote/>
        </w:sectPr>
      </w:pPr>
      <w:r w:rsidRPr="00764473">
        <w:rPr>
          <w:snapToGrid w:val="0"/>
          <w:color w:val="000000"/>
          <w:sz w:val="24"/>
          <w:szCs w:val="24"/>
        </w:rPr>
        <w:t>June 1, 2020</w:t>
      </w:r>
    </w:p>
    <w:p w14:paraId="04BD39ED" w14:textId="77777777" w:rsidR="002D719F" w:rsidRPr="00764473" w:rsidRDefault="002D719F" w:rsidP="00980FA5">
      <w:pPr>
        <w:widowControl w:val="0"/>
        <w:rPr>
          <w:snapToGrid w:val="0"/>
          <w:color w:val="000000"/>
          <w:sz w:val="24"/>
          <w:szCs w:val="24"/>
        </w:rPr>
      </w:pPr>
    </w:p>
    <w:p w14:paraId="6A63E66D" w14:textId="3B51FAEB" w:rsidR="002D719F" w:rsidRPr="00764473" w:rsidRDefault="00980FA5" w:rsidP="00980FA5">
      <w:pPr>
        <w:widowControl w:val="0"/>
        <w:rPr>
          <w:snapToGrid w:val="0"/>
          <w:color w:val="000000"/>
          <w:sz w:val="24"/>
          <w:szCs w:val="24"/>
        </w:rPr>
      </w:pPr>
      <w:r w:rsidRPr="00764473">
        <w:rPr>
          <w:snapToGrid w:val="0"/>
          <w:color w:val="000000"/>
          <w:sz w:val="24"/>
          <w:szCs w:val="24"/>
        </w:rPr>
        <w:t xml:space="preserve">This memo is a detailed evaluation of Dr. Remington’s letter to his clients. Within this memo, I discuss the strengths and weaknesses of the letter </w:t>
      </w:r>
      <w:proofErr w:type="gramStart"/>
      <w:r w:rsidRPr="00764473">
        <w:rPr>
          <w:snapToGrid w:val="0"/>
          <w:color w:val="000000"/>
          <w:sz w:val="24"/>
          <w:szCs w:val="24"/>
        </w:rPr>
        <w:t>in regard to</w:t>
      </w:r>
      <w:proofErr w:type="gramEnd"/>
      <w:r w:rsidRPr="00764473">
        <w:rPr>
          <w:snapToGrid w:val="0"/>
          <w:color w:val="000000"/>
          <w:sz w:val="24"/>
          <w:szCs w:val="24"/>
        </w:rPr>
        <w:t xml:space="preserve"> the Measures of Excellence</w:t>
      </w:r>
      <w:r w:rsidR="00E24306" w:rsidRPr="00764473">
        <w:rPr>
          <w:snapToGrid w:val="0"/>
          <w:color w:val="000000"/>
          <w:sz w:val="24"/>
          <w:szCs w:val="24"/>
        </w:rPr>
        <w:t xml:space="preserve"> </w:t>
      </w:r>
      <w:r w:rsidRPr="00764473">
        <w:rPr>
          <w:snapToGrid w:val="0"/>
          <w:color w:val="000000"/>
          <w:sz w:val="24"/>
          <w:szCs w:val="24"/>
        </w:rPr>
        <w:t xml:space="preserve">from </w:t>
      </w:r>
      <w:r w:rsidRPr="00764473">
        <w:rPr>
          <w:i/>
          <w:iCs/>
          <w:snapToGrid w:val="0"/>
          <w:color w:val="000000"/>
          <w:sz w:val="24"/>
          <w:szCs w:val="24"/>
        </w:rPr>
        <w:t>Technical Communication</w:t>
      </w:r>
      <w:r w:rsidRPr="00764473">
        <w:rPr>
          <w:snapToGrid w:val="0"/>
          <w:color w:val="000000"/>
          <w:sz w:val="24"/>
          <w:szCs w:val="24"/>
        </w:rPr>
        <w:t xml:space="preserve"> by Mike Markel.</w:t>
      </w:r>
    </w:p>
    <w:p w14:paraId="158BDFAF" w14:textId="77777777" w:rsidR="002D719F" w:rsidRPr="00764473" w:rsidRDefault="002D719F" w:rsidP="00980FA5">
      <w:pPr>
        <w:widowControl w:val="0"/>
        <w:rPr>
          <w:snapToGrid w:val="0"/>
          <w:color w:val="000000"/>
          <w:sz w:val="24"/>
          <w:szCs w:val="24"/>
        </w:rPr>
      </w:pPr>
    </w:p>
    <w:p w14:paraId="3210E842" w14:textId="77777777" w:rsidR="002D719F" w:rsidRPr="00764473" w:rsidRDefault="002D719F" w:rsidP="00980FA5">
      <w:pPr>
        <w:widowControl w:val="0"/>
        <w:rPr>
          <w:snapToGrid w:val="0"/>
          <w:color w:val="000000"/>
          <w:sz w:val="24"/>
          <w:szCs w:val="24"/>
        </w:rPr>
      </w:pPr>
      <w:r w:rsidRPr="00764473">
        <w:rPr>
          <w:b/>
          <w:snapToGrid w:val="0"/>
          <w:color w:val="000000"/>
          <w:sz w:val="24"/>
          <w:szCs w:val="24"/>
        </w:rPr>
        <w:t>Discussion</w:t>
      </w:r>
    </w:p>
    <w:p w14:paraId="5F4DEE87" w14:textId="38076652" w:rsidR="002D719F" w:rsidRPr="00764473" w:rsidRDefault="00E24306" w:rsidP="00980FA5">
      <w:pPr>
        <w:widowControl w:val="0"/>
        <w:rPr>
          <w:snapToGrid w:val="0"/>
          <w:color w:val="000000"/>
          <w:sz w:val="24"/>
          <w:szCs w:val="24"/>
        </w:rPr>
      </w:pPr>
      <w:r w:rsidRPr="00764473">
        <w:rPr>
          <w:snapToGrid w:val="0"/>
          <w:color w:val="000000"/>
          <w:sz w:val="24"/>
          <w:szCs w:val="24"/>
        </w:rPr>
        <w:t>To begin this evaluation, I will be detailing the topics that we will cover.</w:t>
      </w:r>
      <w:r w:rsidR="0087397D" w:rsidRPr="00764473">
        <w:rPr>
          <w:snapToGrid w:val="0"/>
          <w:color w:val="000000"/>
          <w:sz w:val="24"/>
          <w:szCs w:val="24"/>
        </w:rPr>
        <w:t xml:space="preserve"> Through the evaluation I will be referencing</w:t>
      </w:r>
      <w:r w:rsidRPr="00764473">
        <w:rPr>
          <w:snapToGrid w:val="0"/>
          <w:color w:val="000000"/>
          <w:sz w:val="24"/>
          <w:szCs w:val="24"/>
        </w:rPr>
        <w:t xml:space="preserve"> The Measures of Excellence are nine characteristics that elude to a well written document. These nine are Accessibility, Accuracy, Clarity, Comprehension, Conciseness, Correctness, Honesty, Professional Appearance, and Usability.</w:t>
      </w:r>
    </w:p>
    <w:p w14:paraId="5E3FF5F3" w14:textId="56CB5826" w:rsidR="00E24306" w:rsidRPr="00764473" w:rsidRDefault="00E24306" w:rsidP="00980FA5">
      <w:pPr>
        <w:widowControl w:val="0"/>
        <w:rPr>
          <w:snapToGrid w:val="0"/>
          <w:color w:val="000000"/>
          <w:sz w:val="24"/>
          <w:szCs w:val="24"/>
        </w:rPr>
      </w:pPr>
    </w:p>
    <w:p w14:paraId="520180B9" w14:textId="4B7F93A0" w:rsidR="00E24306" w:rsidRPr="00764473" w:rsidRDefault="00E24306" w:rsidP="00980FA5">
      <w:pPr>
        <w:widowControl w:val="0"/>
        <w:rPr>
          <w:snapToGrid w:val="0"/>
          <w:color w:val="000000"/>
          <w:sz w:val="24"/>
          <w:szCs w:val="24"/>
        </w:rPr>
      </w:pPr>
      <w:r w:rsidRPr="00764473">
        <w:rPr>
          <w:snapToGrid w:val="0"/>
          <w:color w:val="000000"/>
          <w:sz w:val="24"/>
          <w:szCs w:val="24"/>
        </w:rPr>
        <w:t>Remington</w:t>
      </w:r>
      <w:r w:rsidR="00E052A1" w:rsidRPr="00764473">
        <w:rPr>
          <w:snapToGrid w:val="0"/>
          <w:color w:val="000000"/>
          <w:sz w:val="24"/>
          <w:szCs w:val="24"/>
        </w:rPr>
        <w:t xml:space="preserve"> presents himself as honest, clear and accurate. This letter is likely intended to be received both as a physical letter by mail, and a PDF attachment. Within this letter, Remington addresses the audience, his patients, in order to inform them of recent changes and make the decision to continue receiving dental services from him</w:t>
      </w:r>
      <w:r w:rsidR="0087397D" w:rsidRPr="00764473">
        <w:rPr>
          <w:snapToGrid w:val="0"/>
          <w:color w:val="000000"/>
          <w:sz w:val="24"/>
          <w:szCs w:val="24"/>
        </w:rPr>
        <w:t>.</w:t>
      </w:r>
    </w:p>
    <w:p w14:paraId="784F2F1F" w14:textId="10CFBBD7" w:rsidR="0087397D" w:rsidRPr="00764473" w:rsidRDefault="0087397D" w:rsidP="00980FA5">
      <w:pPr>
        <w:widowControl w:val="0"/>
        <w:rPr>
          <w:snapToGrid w:val="0"/>
          <w:color w:val="000000"/>
          <w:sz w:val="24"/>
          <w:szCs w:val="24"/>
        </w:rPr>
      </w:pPr>
    </w:p>
    <w:p w14:paraId="0C65D916" w14:textId="513C2D07" w:rsidR="0087397D" w:rsidRDefault="0087397D" w:rsidP="00980FA5">
      <w:pPr>
        <w:widowControl w:val="0"/>
        <w:rPr>
          <w:snapToGrid w:val="0"/>
          <w:color w:val="000000"/>
          <w:sz w:val="24"/>
          <w:szCs w:val="24"/>
        </w:rPr>
      </w:pPr>
      <w:r>
        <w:rPr>
          <w:snapToGrid w:val="0"/>
          <w:color w:val="000000"/>
          <w:sz w:val="24"/>
          <w:szCs w:val="24"/>
        </w:rPr>
        <w:t xml:space="preserve">The letter is addressing </w:t>
      </w:r>
      <w:r w:rsidRPr="0087397D">
        <w:rPr>
          <w:snapToGrid w:val="0"/>
          <w:color w:val="000000"/>
          <w:sz w:val="24"/>
          <w:szCs w:val="24"/>
        </w:rPr>
        <w:t>his decision to no longer be a “preferred provider”</w:t>
      </w:r>
      <w:r>
        <w:rPr>
          <w:snapToGrid w:val="0"/>
          <w:color w:val="000000"/>
          <w:sz w:val="24"/>
          <w:szCs w:val="24"/>
        </w:rPr>
        <w:t>. Remington elaborates</w:t>
      </w:r>
      <w:r w:rsidRPr="0087397D">
        <w:rPr>
          <w:snapToGrid w:val="0"/>
          <w:color w:val="000000"/>
          <w:sz w:val="24"/>
          <w:szCs w:val="24"/>
        </w:rPr>
        <w:t xml:space="preserve"> </w:t>
      </w:r>
      <w:r>
        <w:rPr>
          <w:snapToGrid w:val="0"/>
          <w:color w:val="000000"/>
          <w:sz w:val="24"/>
          <w:szCs w:val="24"/>
        </w:rPr>
        <w:t xml:space="preserve">in a fashion meant to </w:t>
      </w:r>
      <w:r w:rsidRPr="0087397D">
        <w:rPr>
          <w:snapToGrid w:val="0"/>
          <w:color w:val="000000"/>
          <w:sz w:val="24"/>
          <w:szCs w:val="24"/>
        </w:rPr>
        <w:t xml:space="preserve">convince the patient that </w:t>
      </w:r>
      <w:r>
        <w:rPr>
          <w:snapToGrid w:val="0"/>
          <w:color w:val="000000"/>
          <w:sz w:val="24"/>
          <w:szCs w:val="24"/>
        </w:rPr>
        <w:t>his decision was made with their</w:t>
      </w:r>
      <w:r w:rsidRPr="0087397D">
        <w:rPr>
          <w:snapToGrid w:val="0"/>
          <w:color w:val="000000"/>
          <w:sz w:val="24"/>
          <w:szCs w:val="24"/>
        </w:rPr>
        <w:t xml:space="preserve"> best interest</w:t>
      </w:r>
      <w:r>
        <w:rPr>
          <w:snapToGrid w:val="0"/>
          <w:color w:val="000000"/>
          <w:sz w:val="24"/>
          <w:szCs w:val="24"/>
        </w:rPr>
        <w:t xml:space="preserve"> in mind</w:t>
      </w:r>
      <w:r w:rsidRPr="0087397D">
        <w:rPr>
          <w:snapToGrid w:val="0"/>
          <w:color w:val="000000"/>
          <w:sz w:val="24"/>
          <w:szCs w:val="24"/>
        </w:rPr>
        <w:t>.</w:t>
      </w:r>
      <w:r>
        <w:rPr>
          <w:snapToGrid w:val="0"/>
          <w:color w:val="000000"/>
          <w:sz w:val="24"/>
          <w:szCs w:val="24"/>
        </w:rPr>
        <w:t xml:space="preserve"> The letter describes multiple solutions in a comprehensive matter, which makes the available choices clear to patients.</w:t>
      </w:r>
    </w:p>
    <w:p w14:paraId="0C98472E" w14:textId="48EF56D3" w:rsidR="0087397D" w:rsidRDefault="0087397D" w:rsidP="00980FA5">
      <w:pPr>
        <w:widowControl w:val="0"/>
        <w:rPr>
          <w:snapToGrid w:val="0"/>
          <w:color w:val="000000"/>
          <w:sz w:val="24"/>
          <w:szCs w:val="24"/>
        </w:rPr>
      </w:pPr>
    </w:p>
    <w:p w14:paraId="3740D3B5" w14:textId="30693710" w:rsidR="00764473" w:rsidRPr="00764473" w:rsidRDefault="0087397D" w:rsidP="00980FA5">
      <w:pPr>
        <w:widowControl w:val="0"/>
        <w:rPr>
          <w:snapToGrid w:val="0"/>
          <w:color w:val="000000"/>
          <w:sz w:val="24"/>
          <w:szCs w:val="24"/>
        </w:rPr>
      </w:pPr>
      <w:r>
        <w:rPr>
          <w:snapToGrid w:val="0"/>
          <w:color w:val="000000"/>
          <w:sz w:val="24"/>
          <w:szCs w:val="24"/>
        </w:rPr>
        <w:t xml:space="preserve">Where Remington’s letter fails is in </w:t>
      </w:r>
      <w:proofErr w:type="gramStart"/>
      <w:r>
        <w:rPr>
          <w:snapToGrid w:val="0"/>
          <w:color w:val="000000"/>
          <w:sz w:val="24"/>
          <w:szCs w:val="24"/>
        </w:rPr>
        <w:t>it’s</w:t>
      </w:r>
      <w:proofErr w:type="gramEnd"/>
      <w:r>
        <w:rPr>
          <w:snapToGrid w:val="0"/>
          <w:color w:val="000000"/>
          <w:sz w:val="24"/>
          <w:szCs w:val="24"/>
        </w:rPr>
        <w:t xml:space="preserve"> conciseness, professional appearance, and usability. Remington, </w:t>
      </w:r>
      <w:proofErr w:type="gramStart"/>
      <w:r>
        <w:rPr>
          <w:snapToGrid w:val="0"/>
          <w:color w:val="000000"/>
          <w:sz w:val="24"/>
          <w:szCs w:val="24"/>
        </w:rPr>
        <w:t>in an attempt to</w:t>
      </w:r>
      <w:proofErr w:type="gramEnd"/>
      <w:r>
        <w:rPr>
          <w:snapToGrid w:val="0"/>
          <w:color w:val="000000"/>
          <w:sz w:val="24"/>
          <w:szCs w:val="24"/>
        </w:rPr>
        <w:t xml:space="preserve"> connect with readers, uses lengthy sentences and unnecessary words. He describes his history and the current status of the insurance industry more than is needed to get his point across. Because of this, what could otherwise be a clean </w:t>
      </w:r>
      <w:proofErr w:type="gramStart"/>
      <w:r>
        <w:rPr>
          <w:snapToGrid w:val="0"/>
          <w:color w:val="000000"/>
          <w:sz w:val="24"/>
          <w:szCs w:val="24"/>
        </w:rPr>
        <w:t>one page</w:t>
      </w:r>
      <w:proofErr w:type="gramEnd"/>
      <w:r>
        <w:rPr>
          <w:snapToGrid w:val="0"/>
          <w:color w:val="000000"/>
          <w:sz w:val="24"/>
          <w:szCs w:val="24"/>
        </w:rPr>
        <w:t xml:space="preserve"> </w:t>
      </w:r>
      <w:r w:rsidR="00764473">
        <w:rPr>
          <w:snapToGrid w:val="0"/>
          <w:color w:val="000000"/>
          <w:sz w:val="24"/>
          <w:szCs w:val="24"/>
        </w:rPr>
        <w:t>document is broken into two pages, which gives the letter a less than ideal professional appearance. Lastly, due to the lack of certain information the overall comprehension of the letter is lowered. This isn’t a huge blow to a reader’s ability to understand the contents</w:t>
      </w:r>
      <w:bookmarkStart w:id="0" w:name="_GoBack"/>
      <w:bookmarkEnd w:id="0"/>
      <w:r w:rsidR="00764473">
        <w:rPr>
          <w:snapToGrid w:val="0"/>
          <w:color w:val="000000"/>
          <w:sz w:val="24"/>
          <w:szCs w:val="24"/>
        </w:rPr>
        <w:t xml:space="preserve"> of the letter, but it does make it more or less useless as a reference where details and financial costs are concerned.</w:t>
      </w:r>
    </w:p>
    <w:p w14:paraId="7946F6A6" w14:textId="77777777" w:rsidR="00980FA5" w:rsidRPr="00764473" w:rsidRDefault="00980FA5" w:rsidP="00980FA5">
      <w:pPr>
        <w:widowControl w:val="0"/>
        <w:rPr>
          <w:snapToGrid w:val="0"/>
          <w:color w:val="000000"/>
          <w:sz w:val="24"/>
          <w:szCs w:val="24"/>
        </w:rPr>
      </w:pPr>
    </w:p>
    <w:p w14:paraId="1DAC53EA" w14:textId="2B54C85E" w:rsidR="002D719F" w:rsidRPr="00764473" w:rsidRDefault="002D719F" w:rsidP="00980FA5">
      <w:pPr>
        <w:widowControl w:val="0"/>
        <w:rPr>
          <w:snapToGrid w:val="0"/>
          <w:color w:val="000000"/>
          <w:sz w:val="24"/>
          <w:szCs w:val="24"/>
        </w:rPr>
      </w:pPr>
    </w:p>
    <w:p w14:paraId="6E97779E" w14:textId="77777777" w:rsidR="0087397D" w:rsidRPr="00764473" w:rsidRDefault="0087397D" w:rsidP="00980FA5">
      <w:pPr>
        <w:widowControl w:val="0"/>
        <w:rPr>
          <w:snapToGrid w:val="0"/>
          <w:color w:val="000000"/>
          <w:sz w:val="24"/>
          <w:szCs w:val="24"/>
        </w:rPr>
      </w:pPr>
    </w:p>
    <w:p w14:paraId="771C0A33" w14:textId="77777777" w:rsidR="002D719F" w:rsidRPr="00764473" w:rsidRDefault="002D719F" w:rsidP="00980FA5">
      <w:pPr>
        <w:widowControl w:val="0"/>
        <w:rPr>
          <w:b/>
          <w:snapToGrid w:val="0"/>
          <w:color w:val="000000"/>
          <w:sz w:val="24"/>
          <w:szCs w:val="24"/>
        </w:rPr>
      </w:pPr>
      <w:r w:rsidRPr="00764473">
        <w:rPr>
          <w:b/>
          <w:snapToGrid w:val="0"/>
          <w:color w:val="000000"/>
          <w:sz w:val="24"/>
          <w:szCs w:val="24"/>
        </w:rPr>
        <w:t>Conclusion</w:t>
      </w:r>
    </w:p>
    <w:p w14:paraId="09C050B3" w14:textId="43D908FC" w:rsidR="002D719F" w:rsidRPr="00764473" w:rsidRDefault="002D719F" w:rsidP="00980FA5">
      <w:pPr>
        <w:widowControl w:val="0"/>
        <w:rPr>
          <w:snapToGrid w:val="0"/>
          <w:color w:val="000000"/>
          <w:sz w:val="24"/>
          <w:szCs w:val="24"/>
        </w:rPr>
      </w:pPr>
    </w:p>
    <w:sectPr w:rsidR="002D719F" w:rsidRPr="00764473" w:rsidSect="004927FC">
      <w:type w:val="continuous"/>
      <w:pgSz w:w="12240" w:h="15840"/>
      <w:pgMar w:top="1440" w:right="1440" w:bottom="1440" w:left="1440" w:header="720" w:footer="720" w:gutter="0"/>
      <w:cols w:space="114"/>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5EA8"/>
    <w:rsid w:val="000B63FF"/>
    <w:rsid w:val="000B7330"/>
    <w:rsid w:val="000D38C9"/>
    <w:rsid w:val="000F132A"/>
    <w:rsid w:val="001D7CD1"/>
    <w:rsid w:val="00211337"/>
    <w:rsid w:val="00223E37"/>
    <w:rsid w:val="002B2ADE"/>
    <w:rsid w:val="002D719F"/>
    <w:rsid w:val="00362AFB"/>
    <w:rsid w:val="00365529"/>
    <w:rsid w:val="004927FC"/>
    <w:rsid w:val="005A5205"/>
    <w:rsid w:val="005E0FAC"/>
    <w:rsid w:val="005F42A4"/>
    <w:rsid w:val="006B0967"/>
    <w:rsid w:val="00701BF5"/>
    <w:rsid w:val="00764473"/>
    <w:rsid w:val="008018E8"/>
    <w:rsid w:val="0087397D"/>
    <w:rsid w:val="00980FA5"/>
    <w:rsid w:val="009A518D"/>
    <w:rsid w:val="009E3A3F"/>
    <w:rsid w:val="00A904EB"/>
    <w:rsid w:val="00C740CF"/>
    <w:rsid w:val="00E052A1"/>
    <w:rsid w:val="00E24306"/>
    <w:rsid w:val="00F25EA8"/>
    <w:rsid w:val="00F4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E2828"/>
  <w15:chartTrackingRefBased/>
  <w15:docId w15:val="{BEF42EC5-A42F-4488-90A5-0A9E77D9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widowControl w:val="0"/>
      <w:jc w:val="center"/>
    </w:pPr>
    <w:rPr>
      <w:snapToGrid w:val="0"/>
      <w:sz w:val="36"/>
    </w:rPr>
  </w:style>
  <w:style w:type="paragraph" w:styleId="BalloonText">
    <w:name w:val="Balloon Text"/>
    <w:basedOn w:val="Normal"/>
    <w:semiHidden/>
    <w:rsid w:val="002D71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637ED-E697-49DB-A155-932C3C2E9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1776</Characters>
  <Application>Microsoft Office Word</Application>
  <DocSecurity>0</DocSecurity>
  <Lines>46</Lines>
  <Paragraphs>18</Paragraphs>
  <ScaleCrop>false</ScaleCrop>
  <HeadingPairs>
    <vt:vector size="2" baseType="variant">
      <vt:variant>
        <vt:lpstr>Title</vt:lpstr>
      </vt:variant>
      <vt:variant>
        <vt:i4>1</vt:i4>
      </vt:variant>
    </vt:vector>
  </HeadingPairs>
  <TitlesOfParts>
    <vt:vector size="1" baseType="lpstr">
      <vt:lpstr>To:</vt:lpstr>
    </vt:vector>
  </TitlesOfParts>
  <Company>Cochise College</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Jeni Patton</dc:creator>
  <cp:keywords/>
  <dc:description/>
  <cp:lastModifiedBy>Adhem Azzabi</cp:lastModifiedBy>
  <cp:revision>2</cp:revision>
  <cp:lastPrinted>2018-01-27T16:16:00Z</cp:lastPrinted>
  <dcterms:created xsi:type="dcterms:W3CDTF">2020-06-02T06:40:00Z</dcterms:created>
  <dcterms:modified xsi:type="dcterms:W3CDTF">2020-06-02T06:40:00Z</dcterms:modified>
</cp:coreProperties>
</file>