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6414" w14:textId="77777777" w:rsidR="00CB5CAE" w:rsidRPr="00B35B1F" w:rsidRDefault="00CB5CAE" w:rsidP="00CB5CAE">
      <w:pPr>
        <w:spacing w:before="18"/>
        <w:ind w:left="1560" w:right="2822"/>
        <w:jc w:val="center"/>
        <w:rPr>
          <w:rFonts w:ascii="Arial"/>
          <w:color w:val="F29721"/>
          <w:spacing w:val="22"/>
          <w:w w:val="120"/>
          <w:sz w:val="50"/>
        </w:rPr>
      </w:pPr>
      <w:bookmarkStart w:id="0" w:name="Chapter_4"/>
      <w:bookmarkStart w:id="1" w:name="Database"/>
      <w:bookmarkStart w:id="2" w:name="_bookmark8"/>
      <w:bookmarkStart w:id="3" w:name="Chapter_2"/>
      <w:bookmarkStart w:id="4" w:name="Easy_Storage_Service_from_Amazon_(Amazon"/>
      <w:bookmarkStart w:id="5" w:name="_bookmark4"/>
      <w:bookmarkEnd w:id="0"/>
      <w:bookmarkEnd w:id="1"/>
      <w:bookmarkEnd w:id="2"/>
      <w:bookmarkEnd w:id="3"/>
      <w:bookmarkEnd w:id="4"/>
      <w:bookmarkEnd w:id="5"/>
      <w:r w:rsidRPr="00B35B1F">
        <w:rPr>
          <w:rFonts w:ascii="Arial"/>
          <w:color w:val="F29721"/>
          <w:spacing w:val="22"/>
          <w:w w:val="120"/>
          <w:sz w:val="50"/>
        </w:rPr>
        <w:t xml:space="preserve">Jonathan A </w:t>
      </w:r>
      <w:proofErr w:type="spellStart"/>
      <w:r w:rsidRPr="00B35B1F">
        <w:rPr>
          <w:rFonts w:ascii="Arial"/>
          <w:color w:val="F29721"/>
          <w:spacing w:val="22"/>
          <w:w w:val="120"/>
          <w:sz w:val="50"/>
        </w:rPr>
        <w:t>nderson</w:t>
      </w:r>
      <w:proofErr w:type="spellEnd"/>
    </w:p>
    <w:p w14:paraId="2B741C8C" w14:textId="77777777" w:rsidR="00CB5CAE" w:rsidRPr="0033630D" w:rsidRDefault="00CB5CAE" w:rsidP="00CB5CAE">
      <w:pPr>
        <w:rPr>
          <w:rFonts w:ascii="Times New Roman" w:eastAsia="Arial" w:hAnsi="Times New Roman" w:cs="Times New Roman"/>
          <w:sz w:val="29"/>
          <w:szCs w:val="29"/>
        </w:rPr>
      </w:pPr>
    </w:p>
    <w:p w14:paraId="2077F310" w14:textId="77777777" w:rsidR="00CB5CAE" w:rsidRPr="0033630D" w:rsidRDefault="00CB5CAE" w:rsidP="00CB5CAE">
      <w:pPr>
        <w:rPr>
          <w:rFonts w:ascii="Times New Roman" w:eastAsia="Arial" w:hAnsi="Times New Roman" w:cs="Times New Roman"/>
          <w:sz w:val="29"/>
          <w:szCs w:val="29"/>
        </w:rPr>
      </w:pPr>
    </w:p>
    <w:p w14:paraId="34B47C3D" w14:textId="77777777" w:rsidR="00CB5CAE" w:rsidRPr="0033630D" w:rsidRDefault="00CB5CAE" w:rsidP="00CB5CAE">
      <w:pPr>
        <w:rPr>
          <w:rFonts w:ascii="Times New Roman" w:eastAsia="Arial" w:hAnsi="Times New Roman" w:cs="Times New Roman"/>
          <w:sz w:val="29"/>
          <w:szCs w:val="29"/>
        </w:rPr>
      </w:pPr>
    </w:p>
    <w:p w14:paraId="0B0EF852" w14:textId="77777777" w:rsidR="00CB5CAE" w:rsidRPr="0033630D" w:rsidRDefault="00CB5CAE" w:rsidP="00CB5CAE">
      <w:pPr>
        <w:spacing w:before="9"/>
        <w:rPr>
          <w:rFonts w:ascii="Times New Roman" w:eastAsia="Arial" w:hAnsi="Times New Roman" w:cs="Times New Roman"/>
          <w:sz w:val="29"/>
          <w:szCs w:val="29"/>
        </w:rPr>
      </w:pPr>
    </w:p>
    <w:p w14:paraId="58591231" w14:textId="77777777" w:rsidR="00CB5CAE" w:rsidRPr="0033630D" w:rsidRDefault="00CB5CAE" w:rsidP="00CB5CAE">
      <w:pPr>
        <w:spacing w:line="173" w:lineRule="exact"/>
        <w:ind w:left="4238"/>
        <w:rPr>
          <w:rFonts w:ascii="Times New Roman" w:eastAsia="Arial" w:hAnsi="Times New Roman" w:cs="Times New Roman"/>
          <w:sz w:val="29"/>
          <w:szCs w:val="29"/>
        </w:rPr>
      </w:pPr>
    </w:p>
    <w:p w14:paraId="6C1BC8AD" w14:textId="77777777" w:rsidR="00CB5CAE" w:rsidRPr="0033630D" w:rsidRDefault="00CB5CAE" w:rsidP="00CB5CAE">
      <w:pPr>
        <w:spacing w:before="11"/>
        <w:rPr>
          <w:rFonts w:ascii="Times New Roman" w:eastAsia="Arial" w:hAnsi="Times New Roman" w:cs="Times New Roman"/>
          <w:sz w:val="29"/>
          <w:szCs w:val="29"/>
        </w:rPr>
      </w:pPr>
    </w:p>
    <w:p w14:paraId="00EE7DC0" w14:textId="77777777" w:rsidR="00CB5CAE" w:rsidRPr="00B35B1F" w:rsidRDefault="00CB5CAE" w:rsidP="00CB5CAE">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585AED9D" w14:textId="77777777" w:rsidR="00CB5CAE" w:rsidRPr="0033630D" w:rsidRDefault="00CB5CAE" w:rsidP="00CB5CAE">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Certified</w:t>
      </w:r>
      <w:r>
        <w:rPr>
          <w:rFonts w:ascii="Times New Roman" w:hAnsi="Times New Roman" w:cs="Times New Roman"/>
          <w:color w:val="545962"/>
          <w:w w:val="145"/>
          <w:sz w:val="29"/>
          <w:szCs w:val="29"/>
        </w:rPr>
        <w:t xml:space="preserve"> </w:t>
      </w:r>
      <w:r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335A8916" w14:textId="77777777" w:rsidR="00CB5CAE" w:rsidRPr="0033630D" w:rsidRDefault="00CB5CAE" w:rsidP="00CB5CAE">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3349E942" w14:textId="77777777" w:rsidR="00CB5CAE" w:rsidRPr="0033630D" w:rsidRDefault="00CB5CAE" w:rsidP="00CB5CAE">
      <w:pPr>
        <w:rPr>
          <w:rFonts w:ascii="Times New Roman" w:eastAsia="Arial" w:hAnsi="Times New Roman" w:cs="Times New Roman"/>
          <w:sz w:val="29"/>
          <w:szCs w:val="29"/>
        </w:rPr>
      </w:pPr>
    </w:p>
    <w:p w14:paraId="358661C4" w14:textId="77777777" w:rsidR="00CB5CAE" w:rsidRPr="0033630D" w:rsidRDefault="00CB5CAE" w:rsidP="00CB5CAE">
      <w:pPr>
        <w:rPr>
          <w:rFonts w:ascii="Times New Roman" w:eastAsia="Arial" w:hAnsi="Times New Roman" w:cs="Times New Roman"/>
          <w:sz w:val="29"/>
          <w:szCs w:val="29"/>
        </w:rPr>
      </w:pPr>
    </w:p>
    <w:p w14:paraId="7F617F68" w14:textId="77777777" w:rsidR="00CB5CAE" w:rsidRPr="00B35B1F" w:rsidRDefault="00CB5CAE" w:rsidP="00CB5CAE">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5A61A580" w14:textId="573783B0" w:rsidR="00CB5CAE" w:rsidRPr="0016693D" w:rsidRDefault="00CB5CAE" w:rsidP="00CB5CAE">
      <w:pPr>
        <w:spacing w:before="23" w:line="845" w:lineRule="exact"/>
        <w:ind w:left="1820" w:right="3372"/>
        <w:jc w:val="center"/>
        <w:rPr>
          <w:rFonts w:ascii="Times New Roman" w:eastAsia="Arial" w:hAnsi="Times New Roman" w:cs="Times New Roman"/>
          <w:sz w:val="29"/>
          <w:szCs w:val="29"/>
          <w:lang w:val="pt-BR"/>
        </w:rPr>
      </w:pPr>
      <w:r w:rsidRPr="0016693D">
        <w:rPr>
          <w:rFonts w:ascii="Times New Roman" w:hAnsi="Times New Roman" w:cs="Times New Roman"/>
          <w:color w:val="F29721"/>
          <w:w w:val="110"/>
          <w:sz w:val="29"/>
          <w:szCs w:val="29"/>
          <w:lang w:val="pt-BR"/>
        </w:rPr>
        <w:t>SAA-C0</w:t>
      </w:r>
      <w:r w:rsidR="0016693D">
        <w:rPr>
          <w:rFonts w:ascii="Times New Roman" w:hAnsi="Times New Roman" w:cs="Times New Roman"/>
          <w:color w:val="F29721"/>
          <w:w w:val="110"/>
          <w:sz w:val="29"/>
          <w:szCs w:val="29"/>
          <w:lang w:val="pt-BR"/>
        </w:rPr>
        <w:t>3</w:t>
      </w:r>
    </w:p>
    <w:p w14:paraId="6F170EEA" w14:textId="77777777" w:rsidR="00CB5CAE" w:rsidRPr="0016693D" w:rsidRDefault="00CB5CAE" w:rsidP="00CB5CAE">
      <w:pPr>
        <w:spacing w:line="707" w:lineRule="exact"/>
        <w:ind w:left="1785" w:right="3372"/>
        <w:jc w:val="center"/>
        <w:rPr>
          <w:rFonts w:ascii="Times New Roman" w:eastAsia="Times New Roman" w:hAnsi="Times New Roman" w:cs="Times New Roman"/>
          <w:sz w:val="29"/>
          <w:szCs w:val="29"/>
          <w:lang w:val="pt-BR"/>
        </w:rPr>
      </w:pPr>
      <w:r>
        <w:rPr>
          <w:rFonts w:ascii="Times New Roman" w:hAnsi="Times New Roman" w:cs="Times New Roman"/>
          <w:noProof/>
          <w:sz w:val="29"/>
          <w:szCs w:val="29"/>
        </w:rPr>
        <w:drawing>
          <wp:anchor distT="0" distB="0" distL="114300" distR="114300" simplePos="0" relativeHeight="251669504" behindDoc="0" locked="0" layoutInCell="1" allowOverlap="1" wp14:anchorId="4F13ADD8" wp14:editId="41010C70">
            <wp:simplePos x="0" y="0"/>
            <wp:positionH relativeFrom="page">
              <wp:posOffset>1411605</wp:posOffset>
            </wp:positionH>
            <wp:positionV relativeFrom="paragraph">
              <wp:posOffset>506730</wp:posOffset>
            </wp:positionV>
            <wp:extent cx="5906770" cy="2564765"/>
            <wp:effectExtent l="0" t="0" r="0" b="0"/>
            <wp:wrapNone/>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2564765"/>
                    </a:xfrm>
                    <a:prstGeom prst="rect">
                      <a:avLst/>
                    </a:prstGeom>
                    <a:noFill/>
                  </pic:spPr>
                </pic:pic>
              </a:graphicData>
            </a:graphic>
            <wp14:sizeRelH relativeFrom="page">
              <wp14:pctWidth>0</wp14:pctWidth>
            </wp14:sizeRelH>
            <wp14:sizeRelV relativeFrom="page">
              <wp14:pctHeight>0</wp14:pctHeight>
            </wp14:sizeRelV>
          </wp:anchor>
        </w:drawing>
      </w:r>
      <w:r w:rsidRPr="0016693D">
        <w:rPr>
          <w:rFonts w:ascii="Times New Roman" w:hAnsi="Times New Roman" w:cs="Times New Roman"/>
          <w:color w:val="F29721"/>
          <w:sz w:val="29"/>
          <w:szCs w:val="29"/>
          <w:lang w:val="pt-BR"/>
        </w:rPr>
        <w:t>E X A M</w:t>
      </w:r>
    </w:p>
    <w:p w14:paraId="62A42B08" w14:textId="77777777" w:rsidR="00CB5CAE" w:rsidRPr="0016693D" w:rsidRDefault="00CB5CAE" w:rsidP="00CB5CAE">
      <w:pPr>
        <w:spacing w:line="707" w:lineRule="exact"/>
        <w:jc w:val="center"/>
        <w:rPr>
          <w:rFonts w:ascii="Times New Roman" w:eastAsia="Times New Roman" w:hAnsi="Times New Roman" w:cs="Times New Roman"/>
          <w:sz w:val="29"/>
          <w:szCs w:val="29"/>
          <w:lang w:val="pt-BR"/>
        </w:rPr>
        <w:sectPr w:rsidR="00CB5CAE" w:rsidRPr="0016693D" w:rsidSect="001C647B">
          <w:pgSz w:w="12240" w:h="15840"/>
          <w:pgMar w:top="820" w:right="0" w:bottom="0" w:left="1480" w:header="720" w:footer="720" w:gutter="0"/>
          <w:cols w:space="720"/>
        </w:sectPr>
      </w:pPr>
    </w:p>
    <w:p w14:paraId="32DEBF63" w14:textId="1A739FB8" w:rsidR="00D07722" w:rsidRPr="0016693D" w:rsidRDefault="004B3E50">
      <w:pPr>
        <w:pStyle w:val="Ttulo1"/>
        <w:spacing w:before="172"/>
        <w:ind w:left="99" w:right="99"/>
        <w:jc w:val="center"/>
        <w:rPr>
          <w:rFonts w:cs="Times New Roman"/>
          <w:b w:val="0"/>
          <w:bCs w:val="0"/>
          <w:sz w:val="29"/>
          <w:szCs w:val="29"/>
          <w:lang w:val="pt-BR"/>
        </w:rPr>
      </w:pPr>
      <w:proofErr w:type="spellStart"/>
      <w:r w:rsidRPr="0016693D">
        <w:rPr>
          <w:rFonts w:cs="Times New Roman"/>
          <w:sz w:val="29"/>
          <w:szCs w:val="29"/>
          <w:lang w:val="pt-BR"/>
        </w:rPr>
        <w:lastRenderedPageBreak/>
        <w:t>Chapter</w:t>
      </w:r>
      <w:proofErr w:type="spellEnd"/>
      <w:r w:rsidRPr="0016693D">
        <w:rPr>
          <w:rFonts w:cs="Times New Roman"/>
          <w:spacing w:val="-6"/>
          <w:sz w:val="29"/>
          <w:szCs w:val="29"/>
          <w:lang w:val="pt-BR"/>
        </w:rPr>
        <w:t xml:space="preserve"> </w:t>
      </w:r>
      <w:r w:rsidRPr="0016693D">
        <w:rPr>
          <w:rFonts w:cs="Times New Roman"/>
          <w:sz w:val="29"/>
          <w:szCs w:val="29"/>
          <w:lang w:val="pt-BR"/>
        </w:rPr>
        <w:t>5</w:t>
      </w:r>
    </w:p>
    <w:p w14:paraId="2660FAE7" w14:textId="77777777" w:rsidR="00D07722" w:rsidRPr="0016693D" w:rsidRDefault="004B3E50">
      <w:pPr>
        <w:spacing w:before="167"/>
        <w:ind w:left="99" w:right="99"/>
        <w:jc w:val="center"/>
        <w:rPr>
          <w:rFonts w:ascii="Times New Roman" w:eastAsia="Times New Roman" w:hAnsi="Times New Roman" w:cs="Times New Roman"/>
          <w:sz w:val="29"/>
          <w:szCs w:val="29"/>
          <w:lang w:val="es-ES"/>
        </w:rPr>
      </w:pPr>
      <w:r w:rsidRPr="0016693D">
        <w:rPr>
          <w:rFonts w:ascii="Times New Roman" w:hAnsi="Times New Roman" w:cs="Times New Roman"/>
          <w:b/>
          <w:spacing w:val="-13"/>
          <w:sz w:val="29"/>
          <w:szCs w:val="29"/>
          <w:lang w:val="es-ES"/>
        </w:rPr>
        <w:t xml:space="preserve">AWS </w:t>
      </w:r>
      <w:proofErr w:type="spellStart"/>
      <w:r w:rsidRPr="0016693D">
        <w:rPr>
          <w:rFonts w:ascii="Times New Roman" w:hAnsi="Times New Roman" w:cs="Times New Roman"/>
          <w:b/>
          <w:sz w:val="29"/>
          <w:szCs w:val="29"/>
          <w:lang w:val="es-ES"/>
        </w:rPr>
        <w:t>Risk</w:t>
      </w:r>
      <w:proofErr w:type="spellEnd"/>
      <w:r w:rsidRPr="0016693D">
        <w:rPr>
          <w:rFonts w:ascii="Times New Roman" w:hAnsi="Times New Roman" w:cs="Times New Roman"/>
          <w:b/>
          <w:sz w:val="29"/>
          <w:szCs w:val="29"/>
          <w:lang w:val="es-ES"/>
        </w:rPr>
        <w:t xml:space="preserve"> and</w:t>
      </w:r>
      <w:r w:rsidRPr="0016693D">
        <w:rPr>
          <w:rFonts w:ascii="Times New Roman" w:hAnsi="Times New Roman" w:cs="Times New Roman"/>
          <w:b/>
          <w:spacing w:val="19"/>
          <w:sz w:val="29"/>
          <w:szCs w:val="29"/>
          <w:lang w:val="es-ES"/>
        </w:rPr>
        <w:t xml:space="preserve"> </w:t>
      </w:r>
      <w:proofErr w:type="spellStart"/>
      <w:r w:rsidRPr="0016693D">
        <w:rPr>
          <w:rFonts w:ascii="Times New Roman" w:hAnsi="Times New Roman" w:cs="Times New Roman"/>
          <w:b/>
          <w:sz w:val="29"/>
          <w:szCs w:val="29"/>
          <w:lang w:val="es-ES"/>
        </w:rPr>
        <w:t>Compliance</w:t>
      </w:r>
      <w:proofErr w:type="spellEnd"/>
    </w:p>
    <w:p w14:paraId="718643C3" w14:textId="77777777" w:rsidR="00D07722" w:rsidRPr="0016693D" w:rsidRDefault="00D07722">
      <w:pPr>
        <w:spacing w:before="4"/>
        <w:rPr>
          <w:rFonts w:ascii="Times New Roman" w:eastAsia="Times New Roman" w:hAnsi="Times New Roman" w:cs="Times New Roman"/>
          <w:b/>
          <w:bCs/>
          <w:sz w:val="29"/>
          <w:szCs w:val="29"/>
          <w:lang w:val="es-ES"/>
        </w:rPr>
      </w:pPr>
    </w:p>
    <w:p w14:paraId="53673490" w14:textId="3645C7FF" w:rsidR="009C66E3" w:rsidRPr="0033630D" w:rsidRDefault="009C66E3" w:rsidP="0065178D">
      <w:pPr>
        <w:spacing w:line="332" w:lineRule="exact"/>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Este capítulo proporciona información para ayudar a los clientes a integrar</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en su marco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control existente, incluido un enfoque básico para evaluar los controles de</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w:t>
      </w:r>
    </w:p>
    <w:p w14:paraId="39586017" w14:textId="77777777" w:rsidR="009C66E3" w:rsidRPr="0033630D" w:rsidRDefault="009C66E3" w:rsidP="0065178D">
      <w:pPr>
        <w:spacing w:before="10"/>
        <w:rPr>
          <w:rFonts w:ascii="Times New Roman" w:eastAsia="Times New Roman" w:hAnsi="Times New Roman" w:cs="Times New Roman"/>
          <w:sz w:val="29"/>
          <w:szCs w:val="29"/>
          <w:lang w:val="es-ES"/>
        </w:rPr>
      </w:pPr>
    </w:p>
    <w:p w14:paraId="64AC9413" w14:textId="75DA1B6C" w:rsidR="009C66E3" w:rsidRPr="00631F0E" w:rsidRDefault="009C66E3" w:rsidP="00631F0E">
      <w:pPr>
        <w:spacing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y sus clientes comparten el control del entorno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informático.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Parte de esta responsabilidad compartida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incluye proporcionar sus servicios en una plataforma altamente segura y monitoreada y proporcionar una amplia variedad de características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seguridad para clientes a utilizar.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 responsabilidad del cliente incluye la configuración de </w:t>
      </w:r>
      <w:proofErr w:type="gramStart"/>
      <w:r w:rsidRPr="0033630D">
        <w:rPr>
          <w:rFonts w:ascii="Times New Roman" w:hAnsi="Times New Roman" w:cs="Times New Roman"/>
          <w:sz w:val="29"/>
          <w:szCs w:val="29"/>
          <w:lang w:val="es"/>
        </w:rPr>
        <w:t>su entornos</w:t>
      </w:r>
      <w:proofErr w:type="gramEnd"/>
      <w:r w:rsidR="00631F0E">
        <w:rPr>
          <w:rFonts w:ascii="Times New Roman" w:hAnsi="Times New Roman" w:cs="Times New Roman"/>
          <w:sz w:val="29"/>
          <w:szCs w:val="29"/>
          <w:lang w:val="es"/>
        </w:rPr>
        <w:t xml:space="preserve"> </w:t>
      </w:r>
      <w:r w:rsidR="00631F0E" w:rsidRPr="0033630D">
        <w:rPr>
          <w:rFonts w:ascii="Times New Roman" w:hAnsi="Times New Roman" w:cs="Times New Roman"/>
          <w:sz w:val="29"/>
          <w:szCs w:val="29"/>
          <w:lang w:val="es"/>
        </w:rPr>
        <w:t>TI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forma segura y controlada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sus fines.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Si bien los clientes no comunican sus usos y configuraciones a </w:t>
      </w:r>
      <w:r w:rsidRPr="0033630D">
        <w:rPr>
          <w:rFonts w:ascii="Times New Roman" w:hAnsi="Times New Roman" w:cs="Times New Roman"/>
          <w:spacing w:val="-7"/>
          <w:sz w:val="29"/>
          <w:szCs w:val="29"/>
          <w:lang w:val="es"/>
        </w:rPr>
        <w:t xml:space="preserve">AWS,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sí comunica el entorno de seguridad y control relevante a los clientes.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PARA</w:t>
      </w:r>
      <w:r w:rsidRPr="0033630D">
        <w:rPr>
          <w:rFonts w:ascii="Times New Roman" w:hAnsi="Times New Roman" w:cs="Times New Roman"/>
          <w:sz w:val="29"/>
          <w:szCs w:val="29"/>
          <w:lang w:val="es"/>
        </w:rPr>
        <w:t xml:space="preserve"> ello, AWS sigue estos pasos:</w:t>
      </w:r>
    </w:p>
    <w:p w14:paraId="4BB98C2C" w14:textId="77777777" w:rsidR="009C66E3" w:rsidRPr="0033630D" w:rsidRDefault="009C66E3" w:rsidP="00631F0E">
      <w:pPr>
        <w:pStyle w:val="Prrafodelista"/>
        <w:numPr>
          <w:ilvl w:val="1"/>
          <w:numId w:val="73"/>
        </w:numPr>
        <w:tabs>
          <w:tab w:val="left" w:pos="1209"/>
        </w:tabs>
        <w:spacing w:before="175" w:line="332" w:lineRule="exact"/>
        <w:ind w:right="110" w:hanging="432"/>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Obtener certificaciones industriales y certificaciones externas independientes como se describe en este documento</w:t>
      </w:r>
    </w:p>
    <w:p w14:paraId="284343B6" w14:textId="6372EF7B" w:rsidR="009C66E3" w:rsidRPr="0033630D" w:rsidRDefault="009C66E3" w:rsidP="00631F0E">
      <w:pPr>
        <w:pStyle w:val="Prrafodelista"/>
        <w:numPr>
          <w:ilvl w:val="1"/>
          <w:numId w:val="73"/>
        </w:numPr>
        <w:tabs>
          <w:tab w:val="left" w:pos="1123"/>
        </w:tabs>
        <w:spacing w:line="332" w:lineRule="exact"/>
        <w:ind w:right="110" w:hanging="432"/>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Publicar información sobre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las prácticas de auditoría y seguridad de AWS en notas del producto y contenido del sitio web </w:t>
      </w:r>
    </w:p>
    <w:p w14:paraId="37895AC9" w14:textId="0036F204" w:rsidR="009C66E3" w:rsidRPr="0033630D" w:rsidRDefault="009C66E3" w:rsidP="00631F0E">
      <w:pPr>
        <w:pStyle w:val="Prrafodelista"/>
        <w:numPr>
          <w:ilvl w:val="1"/>
          <w:numId w:val="73"/>
        </w:numPr>
        <w:tabs>
          <w:tab w:val="left" w:pos="1440"/>
        </w:tabs>
        <w:spacing w:line="332" w:lineRule="exact"/>
        <w:ind w:right="110" w:hanging="432"/>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Proporcionar certificados, informes y otros documentos</w:t>
      </w:r>
      <w:r w:rsidR="001A468E" w:rsidRPr="0033630D">
        <w:rPr>
          <w:rFonts w:ascii="Times New Roman" w:hAnsi="Times New Roman" w:cs="Times New Roman"/>
          <w:spacing w:val="-9"/>
          <w:sz w:val="29"/>
          <w:szCs w:val="29"/>
          <w:lang w:val="es"/>
        </w:rPr>
        <w:t xml:space="preserve"> </w:t>
      </w:r>
      <w:r w:rsidRPr="0033630D">
        <w:rPr>
          <w:rFonts w:ascii="Times New Roman" w:hAnsi="Times New Roman" w:cs="Times New Roman"/>
          <w:sz w:val="29"/>
          <w:szCs w:val="29"/>
          <w:lang w:val="es"/>
        </w:rPr>
        <w:t>directamente a 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clientes de AWS bajo NDA (si es necesario)</w:t>
      </w:r>
    </w:p>
    <w:p w14:paraId="798D8207" w14:textId="77777777" w:rsidR="00D07722" w:rsidRPr="0033630D" w:rsidRDefault="00D07722">
      <w:pPr>
        <w:spacing w:before="10"/>
        <w:rPr>
          <w:rFonts w:ascii="Times New Roman" w:eastAsia="Times New Roman" w:hAnsi="Times New Roman" w:cs="Times New Roman"/>
          <w:sz w:val="29"/>
          <w:szCs w:val="29"/>
          <w:lang w:val="es-ES"/>
        </w:rPr>
      </w:pPr>
    </w:p>
    <w:p w14:paraId="44C22CD2" w14:textId="2FCAF4C7" w:rsidR="00D07722" w:rsidRPr="0033630D" w:rsidRDefault="004B3E50">
      <w:pPr>
        <w:ind w:left="100"/>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b/>
          <w:sz w:val="29"/>
          <w:szCs w:val="29"/>
          <w:lang w:val="es-ES"/>
        </w:rPr>
        <w:t>Shared</w:t>
      </w:r>
      <w:proofErr w:type="spellEnd"/>
      <w:r w:rsidR="001A468E" w:rsidRPr="0033630D">
        <w:rPr>
          <w:rFonts w:ascii="Times New Roman" w:hAnsi="Times New Roman" w:cs="Times New Roman"/>
          <w:b/>
          <w:sz w:val="29"/>
          <w:szCs w:val="29"/>
          <w:lang w:val="es-ES"/>
        </w:rPr>
        <w:t xml:space="preserve"> </w:t>
      </w:r>
      <w:proofErr w:type="spellStart"/>
      <w:r w:rsidRPr="0033630D">
        <w:rPr>
          <w:rFonts w:ascii="Times New Roman" w:hAnsi="Times New Roman" w:cs="Times New Roman"/>
          <w:b/>
          <w:sz w:val="29"/>
          <w:szCs w:val="29"/>
          <w:lang w:val="es-ES"/>
        </w:rPr>
        <w:t>Responsibility</w:t>
      </w:r>
      <w:proofErr w:type="spellEnd"/>
      <w:r w:rsidRPr="0033630D">
        <w:rPr>
          <w:rFonts w:ascii="Times New Roman" w:hAnsi="Times New Roman" w:cs="Times New Roman"/>
          <w:b/>
          <w:spacing w:val="19"/>
          <w:sz w:val="29"/>
          <w:szCs w:val="29"/>
          <w:lang w:val="es-ES"/>
        </w:rPr>
        <w:t xml:space="preserve"> </w:t>
      </w:r>
      <w:proofErr w:type="spellStart"/>
      <w:r w:rsidRPr="0033630D">
        <w:rPr>
          <w:rFonts w:ascii="Times New Roman" w:hAnsi="Times New Roman" w:cs="Times New Roman"/>
          <w:b/>
          <w:sz w:val="29"/>
          <w:szCs w:val="29"/>
          <w:lang w:val="es-ES"/>
        </w:rPr>
        <w:t>Environment</w:t>
      </w:r>
      <w:proofErr w:type="spellEnd"/>
    </w:p>
    <w:p w14:paraId="03A7A6AA" w14:textId="56953522" w:rsidR="009C66E3" w:rsidRPr="0033630D" w:rsidRDefault="009C66E3" w:rsidP="004B163F">
      <w:pPr>
        <w:spacing w:before="172" w:line="244"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La transición de la infraestructura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TI a los servicios de AWS crea un modelo de responsabilidad compartida entre el cliente y</w:t>
      </w:r>
      <w:r w:rsidRPr="0033630D">
        <w:rPr>
          <w:rFonts w:ascii="Times New Roman" w:hAnsi="Times New Roman" w:cs="Times New Roman"/>
          <w:spacing w:val="-7"/>
          <w:sz w:val="29"/>
          <w:szCs w:val="29"/>
          <w:lang w:val="es"/>
        </w:rPr>
        <w:t xml:space="preserve"> AWS.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medida</w:t>
      </w:r>
      <w:r w:rsidRPr="0033630D">
        <w:rPr>
          <w:rFonts w:ascii="Times New Roman" w:hAnsi="Times New Roman" w:cs="Times New Roman"/>
          <w:spacing w:val="-8"/>
          <w:sz w:val="29"/>
          <w:szCs w:val="29"/>
          <w:lang w:val="es"/>
        </w:rPr>
        <w:t xml:space="preserve"> que AWS</w:t>
      </w:r>
      <w:r w:rsidRPr="0033630D">
        <w:rPr>
          <w:rFonts w:ascii="Times New Roman" w:hAnsi="Times New Roman" w:cs="Times New Roman"/>
          <w:sz w:val="29"/>
          <w:szCs w:val="29"/>
          <w:lang w:val="es"/>
        </w:rPr>
        <w:t xml:space="preserve"> ejecuta, administra y monitorea los componentes desde el sistema operativo host y desde la capa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virtualización hasta la protección física de las instalaciones donde se ejecuta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servicio,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este modelo compartido ayudará a reducir la carga operativa para el cliente.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sistema operativo invitado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(incluidas las actualizaciones y los parches de seguridad),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otro software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aplicación relacionado y la configuración del firewall del grupo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seguridad admitido por</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son responsables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y operado por el</w:t>
      </w:r>
      <w:r w:rsidRPr="0033630D">
        <w:rPr>
          <w:rFonts w:ascii="Times New Roman" w:hAnsi="Times New Roman" w:cs="Times New Roman"/>
          <w:spacing w:val="-3"/>
          <w:sz w:val="29"/>
          <w:szCs w:val="29"/>
          <w:lang w:val="es"/>
        </w:rPr>
        <w:t xml:space="preserve"> cliente.</w:t>
      </w:r>
    </w:p>
    <w:p w14:paraId="51B172C4" w14:textId="77777777" w:rsidR="009C66E3" w:rsidRPr="0033630D" w:rsidRDefault="009C66E3" w:rsidP="004B163F">
      <w:pPr>
        <w:rPr>
          <w:rFonts w:ascii="Times New Roman" w:eastAsia="Times New Roman" w:hAnsi="Times New Roman" w:cs="Times New Roman"/>
          <w:sz w:val="29"/>
          <w:szCs w:val="29"/>
          <w:lang w:val="es-ES"/>
        </w:rPr>
      </w:pPr>
    </w:p>
    <w:p w14:paraId="1F8CAD16" w14:textId="08062F6C" w:rsidR="009C66E3" w:rsidRPr="0033630D" w:rsidRDefault="009C66E3" w:rsidP="004B163F">
      <w:pPr>
        <w:pStyle w:val="Textoindependiente"/>
        <w:spacing w:line="332" w:lineRule="exact"/>
        <w:ind w:right="103"/>
        <w:jc w:val="both"/>
        <w:rPr>
          <w:rFonts w:cs="Times New Roman"/>
          <w:lang w:val="es-ES"/>
        </w:rPr>
      </w:pPr>
      <w:r w:rsidRPr="0033630D">
        <w:rPr>
          <w:rFonts w:cs="Times New Roman"/>
          <w:lang w:val="es"/>
        </w:rPr>
        <w:t>Como sus funciones difieren</w:t>
      </w:r>
      <w:r w:rsidR="001A468E" w:rsidRPr="0033630D">
        <w:rPr>
          <w:rFonts w:cs="Times New Roman"/>
          <w:lang w:val="es"/>
        </w:rPr>
        <w:t xml:space="preserve"> </w:t>
      </w:r>
      <w:r w:rsidRPr="0033630D">
        <w:rPr>
          <w:rFonts w:cs="Times New Roman"/>
          <w:lang w:val="es"/>
        </w:rPr>
        <w:t>según</w:t>
      </w:r>
      <w:r w:rsidR="001A468E" w:rsidRPr="0033630D">
        <w:rPr>
          <w:rFonts w:cs="Times New Roman"/>
          <w:lang w:val="es"/>
        </w:rPr>
        <w:t xml:space="preserve"> </w:t>
      </w:r>
      <w:r w:rsidRPr="0033630D">
        <w:rPr>
          <w:rFonts w:cs="Times New Roman"/>
          <w:lang w:val="es"/>
        </w:rPr>
        <w:t>los servicios utilizados, la incorporación de esos servicios en su entorno de</w:t>
      </w:r>
      <w:r w:rsidR="001A468E" w:rsidRPr="0033630D">
        <w:rPr>
          <w:rFonts w:cs="Times New Roman"/>
          <w:lang w:val="es"/>
        </w:rPr>
        <w:t xml:space="preserve"> </w:t>
      </w:r>
      <w:r w:rsidRPr="0033630D">
        <w:rPr>
          <w:rFonts w:cs="Times New Roman"/>
          <w:lang w:val="es"/>
        </w:rPr>
        <w:t>TI y las leyes y regulaciones relevantes,</w:t>
      </w:r>
      <w:r w:rsidR="001A468E" w:rsidRPr="0033630D">
        <w:rPr>
          <w:rFonts w:cs="Times New Roman"/>
          <w:lang w:val="es"/>
        </w:rPr>
        <w:t xml:space="preserve"> </w:t>
      </w:r>
      <w:r w:rsidRPr="0033630D">
        <w:rPr>
          <w:rFonts w:cs="Times New Roman"/>
          <w:lang w:val="es"/>
        </w:rPr>
        <w:t>los clientes deben considerar cuidadosamente los servicios que eligen. Al aprovechar tecnologías como los firewalls basados en host, la detección/prevención de intrusiones en el host basada en la red, el cifrado y la administración de claves, los clientes pueden mejorar la protección y/o cumplir con requisitos</w:t>
      </w:r>
      <w:r w:rsidR="001A468E" w:rsidRPr="0033630D">
        <w:rPr>
          <w:rFonts w:cs="Times New Roman"/>
          <w:lang w:val="es"/>
        </w:rPr>
        <w:t xml:space="preserve"> </w:t>
      </w:r>
      <w:r w:rsidRPr="0033630D">
        <w:rPr>
          <w:rFonts w:cs="Times New Roman"/>
          <w:lang w:val="es"/>
        </w:rPr>
        <w:t>de aplicación</w:t>
      </w:r>
      <w:r w:rsidR="001A468E" w:rsidRPr="0033630D">
        <w:rPr>
          <w:rFonts w:cs="Times New Roman"/>
          <w:lang w:val="es"/>
        </w:rPr>
        <w:t xml:space="preserve"> </w:t>
      </w:r>
      <w:r w:rsidRPr="0033630D">
        <w:rPr>
          <w:rFonts w:cs="Times New Roman"/>
          <w:lang w:val="es"/>
        </w:rPr>
        <w:t>más estrictos.</w:t>
      </w:r>
    </w:p>
    <w:p w14:paraId="72D8DD56" w14:textId="4C57EE18" w:rsidR="009C66E3" w:rsidRPr="0033630D" w:rsidRDefault="009C66E3" w:rsidP="004B163F">
      <w:pPr>
        <w:spacing w:before="167" w:line="244"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lastRenderedPageBreak/>
        <w:t>La flexibilidad y el control del consumidor que permiten introducir soluciones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cumplen con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los criterios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certificación específicos de la industria, a menudo proporcionan la esencia de esta responsabilidad</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compartida.</w:t>
      </w:r>
    </w:p>
    <w:p w14:paraId="04B01CDD" w14:textId="77777777" w:rsidR="009C66E3" w:rsidRPr="0033630D" w:rsidRDefault="009C66E3" w:rsidP="004B163F">
      <w:pPr>
        <w:spacing w:before="10"/>
        <w:rPr>
          <w:rFonts w:ascii="Times New Roman" w:eastAsia="Times New Roman" w:hAnsi="Times New Roman" w:cs="Times New Roman"/>
          <w:sz w:val="29"/>
          <w:szCs w:val="29"/>
          <w:lang w:val="es-ES"/>
        </w:rPr>
      </w:pPr>
    </w:p>
    <w:p w14:paraId="4A9269B1" w14:textId="398F30F4" w:rsidR="009C66E3" w:rsidRPr="00631F0E" w:rsidRDefault="009C66E3" w:rsidP="00631F0E">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Este modelo de responsabilidad compartida</w:t>
      </w:r>
      <w:r w:rsidRPr="0033630D">
        <w:rPr>
          <w:rFonts w:ascii="Times New Roman" w:hAnsi="Times New Roman" w:cs="Times New Roman"/>
          <w:spacing w:val="-3"/>
          <w:sz w:val="29"/>
          <w:szCs w:val="29"/>
          <w:lang w:val="es"/>
        </w:rPr>
        <w:t xml:space="preserve"> entre el cliente y AWS</w:t>
      </w:r>
      <w:r w:rsidRPr="0033630D">
        <w:rPr>
          <w:rFonts w:ascii="Times New Roman" w:hAnsi="Times New Roman" w:cs="Times New Roman"/>
          <w:sz w:val="29"/>
          <w:szCs w:val="29"/>
          <w:lang w:val="es"/>
        </w:rPr>
        <w:t xml:space="preserve"> también se extiende a los controles de TI.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Así como la responsabilidad de operar el entorno de TI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comparte entre</w:t>
      </w:r>
      <w:r w:rsidRPr="0033630D">
        <w:rPr>
          <w:rFonts w:ascii="Times New Roman" w:hAnsi="Times New Roman" w:cs="Times New Roman"/>
          <w:spacing w:val="-9"/>
          <w:sz w:val="29"/>
          <w:szCs w:val="29"/>
          <w:lang w:val="es"/>
        </w:rPr>
        <w:t xml:space="preserve"> AWS </w:t>
      </w:r>
      <w:r w:rsidRPr="0033630D">
        <w:rPr>
          <w:rFonts w:ascii="Times New Roman" w:hAnsi="Times New Roman" w:cs="Times New Roman"/>
          <w:sz w:val="29"/>
          <w:szCs w:val="29"/>
          <w:lang w:val="es"/>
        </w:rPr>
        <w:t>y sus clientes, la administración, ejecución y validación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los controles de TI se comparten. Al manejar los controles asociados con la infraestructura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física instalada en la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configuración de </w:t>
      </w:r>
      <w:r w:rsidRPr="0033630D">
        <w:rPr>
          <w:rFonts w:ascii="Times New Roman" w:hAnsi="Times New Roman" w:cs="Times New Roman"/>
          <w:spacing w:val="-8"/>
          <w:sz w:val="29"/>
          <w:szCs w:val="29"/>
          <w:lang w:val="es"/>
        </w:rPr>
        <w:t xml:space="preserve">AWS </w:t>
      </w:r>
      <w:r w:rsidRPr="0033630D">
        <w:rPr>
          <w:rFonts w:ascii="Times New Roman" w:hAnsi="Times New Roman" w:cs="Times New Roman"/>
          <w:sz w:val="29"/>
          <w:szCs w:val="29"/>
          <w:lang w:val="es"/>
        </w:rPr>
        <w:t>que anteriormente habría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sido</w:t>
      </w:r>
      <w:r w:rsidR="00631F0E">
        <w:rPr>
          <w:rFonts w:ascii="Times New Roman" w:hAnsi="Times New Roman" w:cs="Times New Roman"/>
          <w:sz w:val="29"/>
          <w:szCs w:val="29"/>
          <w:lang w:val="es"/>
        </w:rPr>
        <w:t xml:space="preserve"> g</w:t>
      </w:r>
      <w:r w:rsidRPr="0033630D">
        <w:rPr>
          <w:rFonts w:ascii="Times New Roman" w:hAnsi="Times New Roman" w:cs="Times New Roman"/>
          <w:sz w:val="29"/>
          <w:szCs w:val="29"/>
          <w:lang w:val="es"/>
        </w:rPr>
        <w:t xml:space="preserve">estionado por el cliente,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puede ayudar al cliente a aliviar la carga de 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controles operativos.</w:t>
      </w:r>
    </w:p>
    <w:p w14:paraId="6DED88F5" w14:textId="77777777" w:rsidR="009C66E3" w:rsidRPr="0033630D" w:rsidRDefault="009C66E3" w:rsidP="004B163F">
      <w:pPr>
        <w:spacing w:before="2"/>
        <w:rPr>
          <w:rFonts w:ascii="Times New Roman" w:eastAsia="Times New Roman" w:hAnsi="Times New Roman" w:cs="Times New Roman"/>
          <w:sz w:val="29"/>
          <w:szCs w:val="29"/>
          <w:lang w:val="es-ES"/>
        </w:rPr>
      </w:pPr>
    </w:p>
    <w:p w14:paraId="4CAC2127" w14:textId="202CC5B0" w:rsidR="009C66E3" w:rsidRPr="0033630D" w:rsidRDefault="009C66E3" w:rsidP="004B163F">
      <w:pPr>
        <w:spacing w:line="247"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Debido a que cada cliente se implementa de manera diferente en </w:t>
      </w:r>
      <w:r w:rsidRPr="0033630D">
        <w:rPr>
          <w:rFonts w:ascii="Times New Roman" w:hAnsi="Times New Roman" w:cs="Times New Roman"/>
          <w:spacing w:val="-7"/>
          <w:w w:val="105"/>
          <w:sz w:val="29"/>
          <w:szCs w:val="29"/>
          <w:lang w:val="es"/>
        </w:rPr>
        <w:t xml:space="preserve">AWS, </w:t>
      </w:r>
      <w:r w:rsidRPr="0033630D">
        <w:rPr>
          <w:rFonts w:ascii="Times New Roman" w:hAnsi="Times New Roman" w:cs="Times New Roman"/>
          <w:w w:val="105"/>
          <w:sz w:val="29"/>
          <w:szCs w:val="29"/>
          <w:lang w:val="es"/>
        </w:rPr>
        <w:t xml:space="preserve">los clientes pueden beneficiarse de mover la administración de algunos controles de TI a </w:t>
      </w:r>
      <w:r w:rsidRPr="0033630D">
        <w:rPr>
          <w:rFonts w:ascii="Times New Roman" w:hAnsi="Times New Roman" w:cs="Times New Roman"/>
          <w:spacing w:val="-7"/>
          <w:w w:val="105"/>
          <w:sz w:val="29"/>
          <w:szCs w:val="29"/>
          <w:lang w:val="es"/>
        </w:rPr>
        <w:t xml:space="preserve">AWS, </w:t>
      </w:r>
      <w:r w:rsidRPr="0033630D">
        <w:rPr>
          <w:rFonts w:ascii="Times New Roman" w:hAnsi="Times New Roman" w:cs="Times New Roman"/>
          <w:w w:val="105"/>
          <w:sz w:val="29"/>
          <w:szCs w:val="29"/>
          <w:lang w:val="es"/>
        </w:rPr>
        <w:t>lo que resulta en un (nuevo) entorno de control distribuido. A continuación, los clientes pueden utilizar la</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sz w:val="29"/>
          <w:szCs w:val="29"/>
          <w:lang w:val="es"/>
        </w:rPr>
        <w:t>documentación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conformidad y supervisión</w:t>
      </w:r>
      <w:r w:rsidRPr="0033630D">
        <w:rPr>
          <w:rFonts w:ascii="Times New Roman" w:hAnsi="Times New Roman" w:cs="Times New Roman"/>
          <w:sz w:val="29"/>
          <w:szCs w:val="29"/>
          <w:lang w:val="es"/>
        </w:rPr>
        <w:t xml:space="preserve"> de </w:t>
      </w:r>
      <w:r w:rsidRPr="0033630D">
        <w:rPr>
          <w:rFonts w:ascii="Times New Roman" w:hAnsi="Times New Roman" w:cs="Times New Roman"/>
          <w:spacing w:val="-8"/>
          <w:w w:val="105"/>
          <w:sz w:val="29"/>
          <w:szCs w:val="29"/>
          <w:lang w:val="es"/>
        </w:rPr>
        <w:t>AWS</w:t>
      </w:r>
      <w:r w:rsidRPr="0033630D">
        <w:rPr>
          <w:rFonts w:ascii="Times New Roman" w:hAnsi="Times New Roman" w:cs="Times New Roman"/>
          <w:w w:val="105"/>
          <w:sz w:val="29"/>
          <w:szCs w:val="29"/>
          <w:lang w:val="es"/>
        </w:rPr>
        <w:t xml:space="preserve"> disponible (descrita en certificaciones de AWS y atestaciones de terceros) para llevar a cabo los procedimientos de revisión</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supervisión y verificación</w:t>
      </w:r>
      <w:r w:rsidRPr="0033630D">
        <w:rPr>
          <w:rFonts w:ascii="Times New Roman" w:hAnsi="Times New Roman" w:cs="Times New Roman"/>
          <w:sz w:val="29"/>
          <w:szCs w:val="29"/>
          <w:lang w:val="es"/>
        </w:rPr>
        <w:t xml:space="preserve"> requeridos</w:t>
      </w:r>
      <w:r w:rsidR="000311A7">
        <w:rPr>
          <w:rFonts w:ascii="Times New Roman" w:hAnsi="Times New Roman" w:cs="Times New Roman"/>
          <w:sz w:val="29"/>
          <w:szCs w:val="29"/>
          <w:lang w:val="es"/>
        </w:rPr>
        <w:t>.</w:t>
      </w:r>
    </w:p>
    <w:p w14:paraId="017B0EF9" w14:textId="77777777" w:rsidR="00D07722" w:rsidRPr="0033630D" w:rsidRDefault="00D07722">
      <w:pPr>
        <w:spacing w:before="9"/>
        <w:rPr>
          <w:rFonts w:ascii="Times New Roman" w:eastAsia="Times New Roman" w:hAnsi="Times New Roman" w:cs="Times New Roman"/>
          <w:sz w:val="29"/>
          <w:szCs w:val="29"/>
          <w:lang w:val="es-ES"/>
        </w:rPr>
      </w:pPr>
    </w:p>
    <w:p w14:paraId="68FA1A01" w14:textId="77777777" w:rsidR="00D07722" w:rsidRPr="0033630D" w:rsidRDefault="004B3E50">
      <w:pPr>
        <w:pStyle w:val="Ttulo2"/>
        <w:jc w:val="both"/>
        <w:rPr>
          <w:rFonts w:cs="Times New Roman"/>
          <w:b w:val="0"/>
          <w:bCs w:val="0"/>
          <w:lang w:val="es-ES"/>
        </w:rPr>
      </w:pPr>
      <w:proofErr w:type="spellStart"/>
      <w:r w:rsidRPr="0033630D">
        <w:rPr>
          <w:rFonts w:cs="Times New Roman"/>
          <w:lang w:val="es-ES"/>
        </w:rPr>
        <w:t>Strong</w:t>
      </w:r>
      <w:proofErr w:type="spellEnd"/>
      <w:r w:rsidRPr="0033630D">
        <w:rPr>
          <w:rFonts w:cs="Times New Roman"/>
          <w:lang w:val="es-ES"/>
        </w:rPr>
        <w:t xml:space="preserve"> </w:t>
      </w:r>
      <w:proofErr w:type="spellStart"/>
      <w:r w:rsidRPr="0033630D">
        <w:rPr>
          <w:rFonts w:cs="Times New Roman"/>
          <w:lang w:val="es-ES"/>
        </w:rPr>
        <w:t>Compliance</w:t>
      </w:r>
      <w:proofErr w:type="spellEnd"/>
      <w:r w:rsidRPr="0033630D">
        <w:rPr>
          <w:rFonts w:cs="Times New Roman"/>
          <w:spacing w:val="-52"/>
          <w:lang w:val="es-ES"/>
        </w:rPr>
        <w:t xml:space="preserve"> </w:t>
      </w:r>
      <w:r w:rsidRPr="0033630D">
        <w:rPr>
          <w:rFonts w:cs="Times New Roman"/>
          <w:lang w:val="es-ES"/>
        </w:rPr>
        <w:t>Management</w:t>
      </w:r>
    </w:p>
    <w:p w14:paraId="1B2906A7" w14:textId="2A0046A8" w:rsidR="009C66E3" w:rsidRPr="0033630D" w:rsidRDefault="009C66E3" w:rsidP="008020B7">
      <w:pPr>
        <w:spacing w:before="180" w:line="244"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Como siempre, los clientes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deben mantener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una gobernanza adecuada en todo el entorno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TI, independientemente de cómo se implemente la TI.</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mejores prácticas incluyen comprender los objetivos y los requisitos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cumplimiento requeridos (de fuentes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relevantes), establecer un entorno controlado que cumpla con estos objetivos y requisitos, comprender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validación requerida basada en la tolerancia al riesgo de la organización y la verificación de la efectividad operativa de su entorno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w:t>
      </w:r>
    </w:p>
    <w:p w14:paraId="0FF0FC9A" w14:textId="77777777" w:rsidR="009C66E3" w:rsidRPr="0033630D" w:rsidRDefault="009C66E3" w:rsidP="008020B7">
      <w:pPr>
        <w:spacing w:before="7"/>
        <w:rPr>
          <w:rFonts w:ascii="Times New Roman" w:eastAsia="Times New Roman" w:hAnsi="Times New Roman" w:cs="Times New Roman"/>
          <w:sz w:val="29"/>
          <w:szCs w:val="29"/>
          <w:lang w:val="es-ES"/>
        </w:rPr>
      </w:pPr>
    </w:p>
    <w:p w14:paraId="2B1761CF" w14:textId="30B16A19" w:rsidR="009C66E3" w:rsidRPr="0033630D" w:rsidRDefault="009C66E3" w:rsidP="008020B7">
      <w:pPr>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La implementación en la nube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ofrece 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empresas varias opciones para aplicar diferentes tipos de controles y diferentes métodos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autenticación.</w:t>
      </w:r>
    </w:p>
    <w:p w14:paraId="3B100F14" w14:textId="77777777" w:rsidR="009C66E3" w:rsidRPr="0033630D" w:rsidRDefault="009C66E3" w:rsidP="008020B7">
      <w:pPr>
        <w:spacing w:before="11"/>
        <w:rPr>
          <w:rFonts w:ascii="Times New Roman" w:eastAsia="Times New Roman" w:hAnsi="Times New Roman" w:cs="Times New Roman"/>
          <w:sz w:val="29"/>
          <w:szCs w:val="29"/>
          <w:lang w:val="es-ES"/>
        </w:rPr>
      </w:pPr>
    </w:p>
    <w:p w14:paraId="721F33AD" w14:textId="30D1BE60" w:rsidR="009C66E3" w:rsidRPr="0033630D" w:rsidRDefault="009C66E3" w:rsidP="008020B7">
      <w:pPr>
        <w:ind w:left="100" w:right="103"/>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El</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 xml:space="preserve">cumplimiento y la gobernanza sólidos del cliente pueden incluir los siguientes enfoques básicos: </w:t>
      </w:r>
    </w:p>
    <w:p w14:paraId="320E63A4" w14:textId="77777777" w:rsidR="009C66E3" w:rsidRPr="0033630D" w:rsidRDefault="009C66E3" w:rsidP="008020B7">
      <w:pPr>
        <w:spacing w:before="3"/>
        <w:rPr>
          <w:rFonts w:ascii="Times New Roman" w:eastAsia="Times New Roman" w:hAnsi="Times New Roman" w:cs="Times New Roman"/>
          <w:sz w:val="29"/>
          <w:szCs w:val="29"/>
          <w:lang w:val="es-ES"/>
        </w:rPr>
      </w:pPr>
    </w:p>
    <w:p w14:paraId="6D1164B7" w14:textId="6F33F4CA" w:rsidR="009C66E3" w:rsidRPr="0033630D" w:rsidRDefault="009C66E3" w:rsidP="00631F0E">
      <w:pPr>
        <w:pStyle w:val="Prrafodelista"/>
        <w:numPr>
          <w:ilvl w:val="0"/>
          <w:numId w:val="74"/>
        </w:numPr>
        <w:tabs>
          <w:tab w:val="left" w:pos="1598"/>
        </w:tabs>
        <w:spacing w:line="332" w:lineRule="exact"/>
        <w:ind w:right="99" w:hanging="41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Revise la información disponible en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junto con otra información para obtener la mayor información posible sobre todo el entorno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TI y, a continuación, documente todos los requisitos de conformidad.</w:t>
      </w:r>
    </w:p>
    <w:p w14:paraId="4F51AE06" w14:textId="1867A686" w:rsidR="009C66E3" w:rsidRPr="0033630D" w:rsidRDefault="009C66E3" w:rsidP="00631F0E">
      <w:pPr>
        <w:pStyle w:val="Prrafodelista"/>
        <w:numPr>
          <w:ilvl w:val="0"/>
          <w:numId w:val="74"/>
        </w:numPr>
        <w:tabs>
          <w:tab w:val="left" w:pos="1598"/>
        </w:tabs>
        <w:spacing w:before="3" w:line="247" w:lineRule="auto"/>
        <w:ind w:right="109" w:hanging="417"/>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Diseñar e implementar objetivos de auditoría para cumplir con</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los requisitos de cumplimiento del negocio</w:t>
      </w:r>
      <w:r w:rsidRPr="0033630D">
        <w:rPr>
          <w:rFonts w:ascii="Times New Roman" w:hAnsi="Times New Roman" w:cs="Times New Roman"/>
          <w:sz w:val="29"/>
          <w:szCs w:val="29"/>
          <w:lang w:val="es"/>
        </w:rPr>
        <w:t>.</w:t>
      </w:r>
    </w:p>
    <w:p w14:paraId="0B8E0B9A" w14:textId="77777777" w:rsidR="009C66E3" w:rsidRPr="0033630D" w:rsidRDefault="009C66E3" w:rsidP="00631F0E">
      <w:pPr>
        <w:pStyle w:val="Prrafodelista"/>
        <w:numPr>
          <w:ilvl w:val="0"/>
          <w:numId w:val="74"/>
        </w:numPr>
        <w:tabs>
          <w:tab w:val="left" w:pos="1598"/>
        </w:tabs>
        <w:ind w:right="110" w:hanging="417"/>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Identificar y documentar auditorías</w:t>
      </w:r>
      <w:r w:rsidRPr="0033630D">
        <w:rPr>
          <w:rFonts w:ascii="Times New Roman" w:hAnsi="Times New Roman" w:cs="Times New Roman"/>
          <w:sz w:val="29"/>
          <w:szCs w:val="29"/>
          <w:lang w:val="es"/>
        </w:rPr>
        <w:t xml:space="preserve"> de terceros.</w:t>
      </w:r>
    </w:p>
    <w:p w14:paraId="635FCA3E" w14:textId="5F1051E1" w:rsidR="009C66E3" w:rsidRPr="0033630D" w:rsidRDefault="009C66E3" w:rsidP="00631F0E">
      <w:pPr>
        <w:pStyle w:val="Prrafodelista"/>
        <w:numPr>
          <w:ilvl w:val="0"/>
          <w:numId w:val="74"/>
        </w:numPr>
        <w:tabs>
          <w:tab w:val="left" w:pos="1598"/>
        </w:tabs>
        <w:spacing w:before="5" w:line="332" w:lineRule="exact"/>
        <w:ind w:right="102" w:hanging="417"/>
        <w:jc w:val="both"/>
        <w:rPr>
          <w:rFonts w:ascii="Times New Roman" w:eastAsia="Times New Roman" w:hAnsi="Times New Roman" w:cs="Times New Roman"/>
          <w:sz w:val="29"/>
          <w:szCs w:val="29"/>
          <w:lang w:val="es-ES"/>
        </w:rPr>
      </w:pPr>
      <w:r w:rsidRPr="0033630D">
        <w:rPr>
          <w:rFonts w:ascii="Times New Roman" w:hAnsi="Times New Roman" w:cs="Times New Roman"/>
          <w:spacing w:val="-7"/>
          <w:sz w:val="29"/>
          <w:szCs w:val="29"/>
          <w:lang w:val="es"/>
        </w:rPr>
        <w:lastRenderedPageBreak/>
        <w:t xml:space="preserve">Verifique </w:t>
      </w:r>
      <w:r w:rsidRPr="0033630D">
        <w:rPr>
          <w:rFonts w:ascii="Times New Roman" w:hAnsi="Times New Roman" w:cs="Times New Roman"/>
          <w:sz w:val="29"/>
          <w:szCs w:val="29"/>
          <w:lang w:val="es"/>
        </w:rPr>
        <w:t>que todos los objetivos de control estén en línea y que todos 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controles significativos estén diseñados y funcionen de</w:t>
      </w:r>
      <w:r w:rsidRPr="0033630D">
        <w:rPr>
          <w:rFonts w:ascii="Times New Roman" w:hAnsi="Times New Roman" w:cs="Times New Roman"/>
          <w:spacing w:val="-3"/>
          <w:sz w:val="29"/>
          <w:szCs w:val="29"/>
          <w:lang w:val="es"/>
        </w:rPr>
        <w:t xml:space="preserve"> manera efectiva.</w:t>
      </w:r>
    </w:p>
    <w:p w14:paraId="6CDE884F" w14:textId="77777777" w:rsidR="009C66E3" w:rsidRPr="0033630D" w:rsidRDefault="009C66E3" w:rsidP="008020B7">
      <w:pPr>
        <w:spacing w:before="10"/>
        <w:rPr>
          <w:rFonts w:ascii="Times New Roman" w:eastAsia="Times New Roman" w:hAnsi="Times New Roman" w:cs="Times New Roman"/>
          <w:sz w:val="29"/>
          <w:szCs w:val="29"/>
          <w:lang w:val="es-ES"/>
        </w:rPr>
      </w:pPr>
    </w:p>
    <w:p w14:paraId="30202C19" w14:textId="23ACA26B" w:rsidR="009C66E3" w:rsidRPr="0033630D" w:rsidRDefault="009C66E3" w:rsidP="008020B7">
      <w:pPr>
        <w:spacing w:line="242"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Al abordar el gobierno de cumplimiento de</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sz w:val="29"/>
          <w:szCs w:val="29"/>
          <w:lang w:val="es"/>
        </w:rPr>
        <w:t xml:space="preserve">esta </w:t>
      </w:r>
      <w:r w:rsidRPr="0033630D">
        <w:rPr>
          <w:rFonts w:ascii="Times New Roman" w:hAnsi="Times New Roman" w:cs="Times New Roman"/>
          <w:spacing w:val="-3"/>
          <w:w w:val="105"/>
          <w:sz w:val="29"/>
          <w:szCs w:val="29"/>
          <w:lang w:val="es"/>
        </w:rPr>
        <w:t xml:space="preserve">manera, </w:t>
      </w:r>
      <w:r w:rsidRPr="0033630D">
        <w:rPr>
          <w:rFonts w:ascii="Times New Roman" w:hAnsi="Times New Roman" w:cs="Times New Roman"/>
          <w:w w:val="105"/>
          <w:sz w:val="29"/>
          <w:szCs w:val="29"/>
          <w:lang w:val="es"/>
        </w:rPr>
        <w:t>las empresas comprenderán mejor</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su entorno de control</w:t>
      </w:r>
      <w:r w:rsidRPr="0033630D">
        <w:rPr>
          <w:rFonts w:ascii="Times New Roman" w:hAnsi="Times New Roman" w:cs="Times New Roman"/>
          <w:sz w:val="29"/>
          <w:szCs w:val="29"/>
          <w:lang w:val="es"/>
        </w:rPr>
        <w:t xml:space="preserve">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podrán</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definir las actividades de auditoría</w:t>
      </w:r>
      <w:r w:rsidRPr="0033630D">
        <w:rPr>
          <w:rFonts w:ascii="Times New Roman" w:hAnsi="Times New Roman" w:cs="Times New Roman"/>
          <w:sz w:val="29"/>
          <w:szCs w:val="29"/>
          <w:lang w:val="es"/>
        </w:rPr>
        <w:t xml:space="preserve">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se realizarán.</w:t>
      </w:r>
    </w:p>
    <w:p w14:paraId="09F90EDE" w14:textId="77777777" w:rsidR="00631F0E" w:rsidRDefault="00631F0E">
      <w:pPr>
        <w:pStyle w:val="Ttulo2"/>
        <w:spacing w:before="48"/>
        <w:jc w:val="both"/>
        <w:rPr>
          <w:rFonts w:cs="Times New Roman"/>
          <w:spacing w:val="-11"/>
          <w:lang w:val="es-ES"/>
        </w:rPr>
      </w:pPr>
    </w:p>
    <w:p w14:paraId="017CF6F2" w14:textId="4555DC81" w:rsidR="00D07722" w:rsidRPr="0033630D" w:rsidRDefault="004B3E50">
      <w:pPr>
        <w:pStyle w:val="Ttulo2"/>
        <w:spacing w:before="48"/>
        <w:jc w:val="both"/>
        <w:rPr>
          <w:rFonts w:cs="Times New Roman"/>
          <w:b w:val="0"/>
          <w:bCs w:val="0"/>
          <w:lang w:val="es-ES"/>
        </w:rPr>
      </w:pPr>
      <w:r w:rsidRPr="0033630D">
        <w:rPr>
          <w:rFonts w:cs="Times New Roman"/>
          <w:spacing w:val="-11"/>
          <w:lang w:val="es-ES"/>
        </w:rPr>
        <w:t xml:space="preserve">AWS </w:t>
      </w:r>
      <w:proofErr w:type="spellStart"/>
      <w:r w:rsidRPr="0033630D">
        <w:rPr>
          <w:rFonts w:cs="Times New Roman"/>
          <w:lang w:val="es-ES"/>
        </w:rPr>
        <w:t>Monitors</w:t>
      </w:r>
      <w:proofErr w:type="spellEnd"/>
      <w:r w:rsidRPr="0033630D">
        <w:rPr>
          <w:rFonts w:cs="Times New Roman"/>
          <w:lang w:val="es-ES"/>
        </w:rPr>
        <w:t xml:space="preserve"> </w:t>
      </w:r>
      <w:proofErr w:type="spellStart"/>
      <w:r w:rsidRPr="0033630D">
        <w:rPr>
          <w:rFonts w:cs="Times New Roman"/>
          <w:lang w:val="es-ES"/>
        </w:rPr>
        <w:t>Assessment</w:t>
      </w:r>
      <w:proofErr w:type="spellEnd"/>
      <w:r w:rsidRPr="0033630D">
        <w:rPr>
          <w:rFonts w:cs="Times New Roman"/>
          <w:lang w:val="es-ES"/>
        </w:rPr>
        <w:t xml:space="preserve"> and</w:t>
      </w:r>
      <w:r w:rsidRPr="0033630D">
        <w:rPr>
          <w:rFonts w:cs="Times New Roman"/>
          <w:spacing w:val="-45"/>
          <w:lang w:val="es-ES"/>
        </w:rPr>
        <w:t xml:space="preserve"> </w:t>
      </w:r>
      <w:proofErr w:type="spellStart"/>
      <w:r w:rsidRPr="0033630D">
        <w:rPr>
          <w:rFonts w:cs="Times New Roman"/>
          <w:lang w:val="es-ES"/>
        </w:rPr>
        <w:t>Integration</w:t>
      </w:r>
      <w:proofErr w:type="spellEnd"/>
    </w:p>
    <w:p w14:paraId="772A72BB" w14:textId="136D0904" w:rsidR="009C66E3" w:rsidRPr="0033630D" w:rsidRDefault="009C66E3" w:rsidP="004A0B95">
      <w:pPr>
        <w:spacing w:before="180"/>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proporciona una amplia gama de información sobre su entorno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TI a los clientes a través de </w:t>
      </w:r>
      <w:proofErr w:type="spellStart"/>
      <w:r w:rsidRPr="0033630D">
        <w:rPr>
          <w:rFonts w:ascii="Times New Roman" w:hAnsi="Times New Roman" w:cs="Times New Roman"/>
          <w:sz w:val="29"/>
          <w:szCs w:val="29"/>
          <w:lang w:val="es"/>
        </w:rPr>
        <w:t>white</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papers</w:t>
      </w:r>
      <w:proofErr w:type="spellEnd"/>
      <w:r w:rsidRPr="0033630D">
        <w:rPr>
          <w:rFonts w:ascii="Times New Roman" w:hAnsi="Times New Roman" w:cs="Times New Roman"/>
          <w:sz w:val="29"/>
          <w:szCs w:val="29"/>
          <w:lang w:val="es"/>
        </w:rPr>
        <w:t>, informes, certificaciones y otras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declaraciones de terceros.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Esta documentación ayuda a 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clientes 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comprender los controles existentes que son aplicables a los servicios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AWS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que utilizan y cómo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han comprobado esos controles. Esta información también ayuda a los clientes en sus esfuerzos por informar y validar que los controles funcionan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manera efectiva en su entorno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TI integral</w:t>
      </w:r>
      <w:r w:rsidR="000311A7">
        <w:rPr>
          <w:rFonts w:ascii="Times New Roman" w:hAnsi="Times New Roman" w:cs="Times New Roman"/>
          <w:sz w:val="29"/>
          <w:szCs w:val="29"/>
          <w:lang w:val="es"/>
        </w:rPr>
        <w:t>.</w:t>
      </w:r>
    </w:p>
    <w:p w14:paraId="32807216" w14:textId="77777777" w:rsidR="009C66E3" w:rsidRPr="0033630D" w:rsidRDefault="009C66E3" w:rsidP="004A0B95">
      <w:pPr>
        <w:spacing w:before="2"/>
        <w:rPr>
          <w:rFonts w:ascii="Times New Roman" w:eastAsia="Times New Roman" w:hAnsi="Times New Roman" w:cs="Times New Roman"/>
          <w:sz w:val="29"/>
          <w:szCs w:val="29"/>
          <w:lang w:val="es-ES"/>
        </w:rPr>
      </w:pPr>
    </w:p>
    <w:p w14:paraId="04A57D1A" w14:textId="68004DA1" w:rsidR="009C66E3" w:rsidRPr="0033630D" w:rsidRDefault="009C66E3" w:rsidP="004A0B95">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pacing w:val="-3"/>
          <w:sz w:val="29"/>
          <w:szCs w:val="29"/>
          <w:lang w:val="es"/>
        </w:rPr>
        <w:t>Tradicionalmente,</w:t>
      </w:r>
      <w:r w:rsidRPr="0033630D">
        <w:rPr>
          <w:rFonts w:ascii="Times New Roman" w:hAnsi="Times New Roman" w:cs="Times New Roman"/>
          <w:sz w:val="29"/>
          <w:szCs w:val="29"/>
          <w:lang w:val="es"/>
        </w:rPr>
        <w:t xml:space="preserve"> el diseño y la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efectividad operativa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los objetivos y controles de auditoría son validados por auditores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internos y / o externos a través de procesos paso a paso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evaluación de evidencia.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observación/verificación directa, por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parte del cliente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o del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auditor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externo del cliente,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generalmente se realiza para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validar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controles.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Al utilizar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proveedores de servicios como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7"/>
          <w:sz w:val="29"/>
          <w:szCs w:val="29"/>
          <w:lang w:val="es"/>
        </w:rPr>
        <w:t>AWS,</w:t>
      </w:r>
      <w:r w:rsidRPr="0033630D">
        <w:rPr>
          <w:rFonts w:ascii="Times New Roman" w:hAnsi="Times New Roman" w:cs="Times New Roman"/>
          <w:sz w:val="29"/>
          <w:szCs w:val="29"/>
          <w:lang w:val="es"/>
        </w:rPr>
        <w:t xml:space="preserve"> las empresas solicitan y revisan licencias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 certificaciones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terceros para obtener una garantía justa en cuanto 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diseño.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y la eficacia operacional de los objetivos y controles de la auditoría. Por lo tanto, si bien</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puede administrar los controles principales del cliente, el entorno de control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seguir siendo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 marco unificado en el que todos los controles se consideran y verifican como si funcionaran</w:t>
      </w:r>
      <w:r w:rsidRPr="0033630D">
        <w:rPr>
          <w:rFonts w:ascii="Times New Roman" w:hAnsi="Times New Roman" w:cs="Times New Roman"/>
          <w:spacing w:val="-3"/>
          <w:sz w:val="29"/>
          <w:szCs w:val="29"/>
          <w:lang w:val="es"/>
        </w:rPr>
        <w:t xml:space="preserve"> de manera efectiva.</w:t>
      </w:r>
    </w:p>
    <w:p w14:paraId="5BBD1061" w14:textId="77777777" w:rsidR="009C66E3" w:rsidRPr="0033630D" w:rsidRDefault="009C66E3" w:rsidP="004A0B95">
      <w:pPr>
        <w:spacing w:before="1"/>
        <w:rPr>
          <w:rFonts w:ascii="Times New Roman" w:eastAsia="Times New Roman" w:hAnsi="Times New Roman" w:cs="Times New Roman"/>
          <w:sz w:val="29"/>
          <w:szCs w:val="29"/>
          <w:lang w:val="es-ES"/>
        </w:rPr>
      </w:pPr>
    </w:p>
    <w:p w14:paraId="7F2A5371" w14:textId="0E10D268" w:rsidR="009C66E3" w:rsidRPr="0033630D" w:rsidRDefault="009C66E3" w:rsidP="004A0B95">
      <w:pPr>
        <w:pStyle w:val="Textoindependiente"/>
        <w:ind w:right="101"/>
        <w:jc w:val="both"/>
        <w:rPr>
          <w:rFonts w:cs="Times New Roman"/>
          <w:lang w:val="es-ES"/>
        </w:rPr>
      </w:pPr>
      <w:r w:rsidRPr="0033630D">
        <w:rPr>
          <w:rFonts w:cs="Times New Roman"/>
          <w:spacing w:val="-9"/>
          <w:lang w:val="es"/>
        </w:rPr>
        <w:t>Las</w:t>
      </w:r>
      <w:r w:rsidRPr="0033630D">
        <w:rPr>
          <w:rFonts w:cs="Times New Roman"/>
          <w:lang w:val="es"/>
        </w:rPr>
        <w:t xml:space="preserve"> atestaciones de AWS</w:t>
      </w:r>
      <w:r w:rsidR="001A468E" w:rsidRPr="0033630D">
        <w:rPr>
          <w:rFonts w:cs="Times New Roman"/>
          <w:lang w:val="es"/>
        </w:rPr>
        <w:t xml:space="preserve"> </w:t>
      </w:r>
      <w:r w:rsidRPr="0033630D">
        <w:rPr>
          <w:rFonts w:cs="Times New Roman"/>
          <w:lang w:val="es"/>
        </w:rPr>
        <w:t>y las</w:t>
      </w:r>
      <w:r w:rsidR="001A468E" w:rsidRPr="0033630D">
        <w:rPr>
          <w:rFonts w:cs="Times New Roman"/>
          <w:lang w:val="es"/>
        </w:rPr>
        <w:t xml:space="preserve"> </w:t>
      </w:r>
      <w:r w:rsidRPr="0033630D">
        <w:rPr>
          <w:rFonts w:cs="Times New Roman"/>
          <w:lang w:val="es"/>
        </w:rPr>
        <w:t>certificaciones de terceros no solo pueden proporcionar un mayor nivel de validación del entorno de control, sino que también pueden eximir a los clientes</w:t>
      </w:r>
      <w:r w:rsidR="001A468E" w:rsidRPr="0033630D">
        <w:rPr>
          <w:rFonts w:cs="Times New Roman"/>
          <w:lang w:val="es"/>
        </w:rPr>
        <w:t xml:space="preserve"> </w:t>
      </w:r>
      <w:r w:rsidRPr="0033630D">
        <w:rPr>
          <w:rFonts w:cs="Times New Roman"/>
          <w:lang w:val="es"/>
        </w:rPr>
        <w:t>de la obligación de</w:t>
      </w:r>
      <w:r w:rsidR="001A468E" w:rsidRPr="0033630D">
        <w:rPr>
          <w:rFonts w:cs="Times New Roman"/>
          <w:lang w:val="es"/>
        </w:rPr>
        <w:t xml:space="preserve"> </w:t>
      </w:r>
      <w:r w:rsidRPr="0033630D">
        <w:rPr>
          <w:rFonts w:cs="Times New Roman"/>
          <w:lang w:val="es"/>
        </w:rPr>
        <w:t>determinar algún tipo de validación para su entorno de</w:t>
      </w:r>
      <w:r w:rsidR="001A468E" w:rsidRPr="0033630D">
        <w:rPr>
          <w:rFonts w:cs="Times New Roman"/>
          <w:lang w:val="es"/>
        </w:rPr>
        <w:t xml:space="preserve"> </w:t>
      </w:r>
      <w:r w:rsidRPr="0033630D">
        <w:rPr>
          <w:rFonts w:cs="Times New Roman"/>
          <w:lang w:val="es"/>
        </w:rPr>
        <w:t>TI.</w:t>
      </w:r>
      <w:r w:rsidR="001A468E" w:rsidRPr="0033630D">
        <w:rPr>
          <w:rFonts w:cs="Times New Roman"/>
          <w:lang w:val="es"/>
        </w:rPr>
        <w:t xml:space="preserve"> </w:t>
      </w:r>
      <w:r w:rsidRPr="0033630D">
        <w:rPr>
          <w:rFonts w:cs="Times New Roman"/>
          <w:lang w:val="es"/>
        </w:rPr>
        <w:t xml:space="preserve">en la nube de </w:t>
      </w:r>
      <w:r w:rsidRPr="0033630D">
        <w:rPr>
          <w:rFonts w:cs="Times New Roman"/>
          <w:spacing w:val="-8"/>
          <w:lang w:val="es"/>
        </w:rPr>
        <w:t>AWS</w:t>
      </w:r>
      <w:r w:rsidRPr="0033630D">
        <w:rPr>
          <w:rFonts w:cs="Times New Roman"/>
          <w:lang w:val="es"/>
        </w:rPr>
        <w:t>.</w:t>
      </w:r>
    </w:p>
    <w:p w14:paraId="64475641" w14:textId="77777777" w:rsidR="00D07722" w:rsidRPr="0033630D" w:rsidRDefault="00D07722">
      <w:pPr>
        <w:rPr>
          <w:rFonts w:ascii="Times New Roman" w:eastAsia="Times New Roman" w:hAnsi="Times New Roman" w:cs="Times New Roman"/>
          <w:sz w:val="29"/>
          <w:szCs w:val="29"/>
          <w:lang w:val="es-ES"/>
        </w:rPr>
      </w:pPr>
    </w:p>
    <w:p w14:paraId="14F88157" w14:textId="77777777" w:rsidR="00D07722" w:rsidRPr="0033630D" w:rsidRDefault="004B3E50">
      <w:pPr>
        <w:spacing w:before="223"/>
        <w:ind w:left="100"/>
        <w:jc w:val="both"/>
        <w:rPr>
          <w:rFonts w:ascii="Times New Roman" w:eastAsia="Times New Roman" w:hAnsi="Times New Roman" w:cs="Times New Roman"/>
          <w:sz w:val="29"/>
          <w:szCs w:val="29"/>
          <w:lang w:val="es-ES"/>
        </w:rPr>
      </w:pPr>
      <w:r w:rsidRPr="0033630D">
        <w:rPr>
          <w:rFonts w:ascii="Times New Roman" w:hAnsi="Times New Roman" w:cs="Times New Roman"/>
          <w:b/>
          <w:spacing w:val="-11"/>
          <w:w w:val="105"/>
          <w:sz w:val="29"/>
          <w:szCs w:val="29"/>
          <w:lang w:val="es-ES"/>
        </w:rPr>
        <w:t>AWS</w:t>
      </w:r>
      <w:r w:rsidRPr="0033630D">
        <w:rPr>
          <w:rFonts w:ascii="Times New Roman" w:hAnsi="Times New Roman" w:cs="Times New Roman"/>
          <w:b/>
          <w:spacing w:val="-32"/>
          <w:w w:val="105"/>
          <w:sz w:val="29"/>
          <w:szCs w:val="29"/>
          <w:lang w:val="es-ES"/>
        </w:rPr>
        <w:t xml:space="preserve"> </w:t>
      </w:r>
      <w:r w:rsidRPr="0033630D">
        <w:rPr>
          <w:rFonts w:ascii="Times New Roman" w:hAnsi="Times New Roman" w:cs="Times New Roman"/>
          <w:b/>
          <w:w w:val="105"/>
          <w:sz w:val="29"/>
          <w:szCs w:val="29"/>
          <w:lang w:val="es-ES"/>
        </w:rPr>
        <w:t>IT</w:t>
      </w:r>
      <w:r w:rsidRPr="0033630D">
        <w:rPr>
          <w:rFonts w:ascii="Times New Roman" w:hAnsi="Times New Roman" w:cs="Times New Roman"/>
          <w:b/>
          <w:spacing w:val="-35"/>
          <w:w w:val="105"/>
          <w:sz w:val="29"/>
          <w:szCs w:val="29"/>
          <w:lang w:val="es-ES"/>
        </w:rPr>
        <w:t xml:space="preserve"> </w:t>
      </w:r>
      <w:r w:rsidRPr="0033630D">
        <w:rPr>
          <w:rFonts w:ascii="Times New Roman" w:hAnsi="Times New Roman" w:cs="Times New Roman"/>
          <w:b/>
          <w:w w:val="105"/>
          <w:sz w:val="29"/>
          <w:szCs w:val="29"/>
          <w:lang w:val="es-ES"/>
        </w:rPr>
        <w:t>control</w:t>
      </w:r>
      <w:r w:rsidRPr="0033630D">
        <w:rPr>
          <w:rFonts w:ascii="Times New Roman" w:hAnsi="Times New Roman" w:cs="Times New Roman"/>
          <w:b/>
          <w:spacing w:val="-32"/>
          <w:w w:val="105"/>
          <w:sz w:val="29"/>
          <w:szCs w:val="29"/>
          <w:lang w:val="es-ES"/>
        </w:rPr>
        <w:t xml:space="preserve"> </w:t>
      </w:r>
      <w:proofErr w:type="spellStart"/>
      <w:r w:rsidRPr="0033630D">
        <w:rPr>
          <w:rFonts w:ascii="Times New Roman" w:hAnsi="Times New Roman" w:cs="Times New Roman"/>
          <w:b/>
          <w:w w:val="105"/>
          <w:sz w:val="29"/>
          <w:szCs w:val="29"/>
          <w:lang w:val="es-ES"/>
        </w:rPr>
        <w:t>information</w:t>
      </w:r>
      <w:proofErr w:type="spellEnd"/>
    </w:p>
    <w:p w14:paraId="6ED19D2C" w14:textId="551A4DF8" w:rsidR="009C66E3" w:rsidRPr="0033630D" w:rsidRDefault="009C66E3" w:rsidP="00CF6C6A">
      <w:pPr>
        <w:pStyle w:val="Textoindependiente"/>
        <w:spacing w:before="172"/>
        <w:jc w:val="both"/>
        <w:rPr>
          <w:rFonts w:cs="Times New Roman"/>
          <w:lang w:val="es-ES"/>
        </w:rPr>
      </w:pPr>
      <w:r w:rsidRPr="0033630D">
        <w:rPr>
          <w:rFonts w:cs="Times New Roman"/>
          <w:spacing w:val="-9"/>
          <w:lang w:val="es"/>
        </w:rPr>
        <w:t>AWS</w:t>
      </w:r>
      <w:r w:rsidRPr="0033630D">
        <w:rPr>
          <w:rFonts w:cs="Times New Roman"/>
          <w:lang w:val="es"/>
        </w:rPr>
        <w:t xml:space="preserve"> entrega información de</w:t>
      </w:r>
      <w:r w:rsidR="001A468E" w:rsidRPr="0033630D">
        <w:rPr>
          <w:rFonts w:cs="Times New Roman"/>
          <w:lang w:val="es"/>
        </w:rPr>
        <w:t xml:space="preserve"> </w:t>
      </w:r>
      <w:r w:rsidRPr="0033630D">
        <w:rPr>
          <w:rFonts w:cs="Times New Roman"/>
          <w:lang w:val="es"/>
        </w:rPr>
        <w:t>control de TI a los clientes</w:t>
      </w:r>
      <w:r w:rsidR="001A468E" w:rsidRPr="0033630D">
        <w:rPr>
          <w:rFonts w:cs="Times New Roman"/>
          <w:lang w:val="es"/>
        </w:rPr>
        <w:t xml:space="preserve"> </w:t>
      </w:r>
      <w:r w:rsidRPr="0033630D">
        <w:rPr>
          <w:rFonts w:cs="Times New Roman"/>
          <w:lang w:val="es"/>
        </w:rPr>
        <w:t>de las siguientes maneras:</w:t>
      </w:r>
    </w:p>
    <w:p w14:paraId="744D583A" w14:textId="77777777" w:rsidR="00D07722" w:rsidRPr="0033630D" w:rsidRDefault="00D07722">
      <w:pPr>
        <w:spacing w:before="4"/>
        <w:rPr>
          <w:rFonts w:ascii="Times New Roman" w:eastAsia="Times New Roman" w:hAnsi="Times New Roman" w:cs="Times New Roman"/>
          <w:sz w:val="29"/>
          <w:szCs w:val="29"/>
          <w:lang w:val="es-ES"/>
        </w:rPr>
      </w:pPr>
    </w:p>
    <w:p w14:paraId="563EA1EE" w14:textId="77777777" w:rsidR="00D07722" w:rsidRPr="0033630D" w:rsidRDefault="004B3E50">
      <w:pPr>
        <w:pStyle w:val="Ttulo2"/>
        <w:jc w:val="both"/>
        <w:rPr>
          <w:rFonts w:cs="Times New Roman"/>
          <w:b w:val="0"/>
          <w:bCs w:val="0"/>
          <w:lang w:val="es-ES"/>
        </w:rPr>
      </w:pPr>
      <w:proofErr w:type="spellStart"/>
      <w:r w:rsidRPr="0033630D">
        <w:rPr>
          <w:rFonts w:cs="Times New Roman"/>
          <w:lang w:val="es-ES"/>
        </w:rPr>
        <w:t>Definition</w:t>
      </w:r>
      <w:proofErr w:type="spellEnd"/>
      <w:r w:rsidRPr="0033630D">
        <w:rPr>
          <w:rFonts w:cs="Times New Roman"/>
          <w:lang w:val="es-ES"/>
        </w:rPr>
        <w:t xml:space="preserve"> </w:t>
      </w:r>
      <w:proofErr w:type="spellStart"/>
      <w:r w:rsidRPr="0033630D">
        <w:rPr>
          <w:rFonts w:cs="Times New Roman"/>
          <w:lang w:val="es-ES"/>
        </w:rPr>
        <w:t>of</w:t>
      </w:r>
      <w:proofErr w:type="spellEnd"/>
      <w:r w:rsidRPr="0033630D">
        <w:rPr>
          <w:rFonts w:cs="Times New Roman"/>
          <w:lang w:val="es-ES"/>
        </w:rPr>
        <w:t xml:space="preserve"> </w:t>
      </w:r>
      <w:proofErr w:type="spellStart"/>
      <w:r w:rsidRPr="0033630D">
        <w:rPr>
          <w:rFonts w:cs="Times New Roman"/>
          <w:lang w:val="es-ES"/>
        </w:rPr>
        <w:t>specific</w:t>
      </w:r>
      <w:proofErr w:type="spellEnd"/>
      <w:r w:rsidRPr="0033630D">
        <w:rPr>
          <w:rFonts w:cs="Times New Roman"/>
          <w:spacing w:val="-51"/>
          <w:lang w:val="es-ES"/>
        </w:rPr>
        <w:t xml:space="preserve"> </w:t>
      </w:r>
      <w:r w:rsidRPr="0033630D">
        <w:rPr>
          <w:rFonts w:cs="Times New Roman"/>
          <w:lang w:val="es-ES"/>
        </w:rPr>
        <w:t>control.</w:t>
      </w:r>
    </w:p>
    <w:p w14:paraId="74E3EE23" w14:textId="32BC117F" w:rsidR="001A468E" w:rsidRPr="00631F0E" w:rsidRDefault="001A468E" w:rsidP="00631F0E">
      <w:pPr>
        <w:spacing w:before="180" w:line="247" w:lineRule="auto"/>
        <w:ind w:left="100" w:right="106"/>
        <w:jc w:val="both"/>
        <w:rPr>
          <w:rFonts w:ascii="Times New Roman" w:eastAsia="Times New Roman" w:hAnsi="Times New Roman" w:cs="Times New Roman"/>
          <w:sz w:val="29"/>
          <w:szCs w:val="29"/>
          <w:lang w:val="es-ES"/>
        </w:rPr>
      </w:pPr>
      <w:r w:rsidRPr="0033630D">
        <w:rPr>
          <w:rFonts w:ascii="Times New Roman" w:hAnsi="Times New Roman" w:cs="Times New Roman"/>
          <w:spacing w:val="-8"/>
          <w:w w:val="105"/>
          <w:sz w:val="29"/>
          <w:szCs w:val="29"/>
          <w:lang w:val="es"/>
        </w:rPr>
        <w:t xml:space="preserve">Los </w:t>
      </w:r>
      <w:r w:rsidRPr="0033630D">
        <w:rPr>
          <w:rFonts w:ascii="Times New Roman" w:hAnsi="Times New Roman" w:cs="Times New Roman"/>
          <w:w w:val="105"/>
          <w:sz w:val="29"/>
          <w:szCs w:val="29"/>
          <w:lang w:val="es"/>
        </w:rPr>
        <w:t xml:space="preserve">clientes de AWS pueden identificar los controles clave administrados </w:t>
      </w:r>
      <w:r w:rsidRPr="0033630D">
        <w:rPr>
          <w:rFonts w:ascii="Times New Roman" w:hAnsi="Times New Roman" w:cs="Times New Roman"/>
          <w:w w:val="105"/>
          <w:sz w:val="29"/>
          <w:szCs w:val="29"/>
          <w:lang w:val="es"/>
        </w:rPr>
        <w:lastRenderedPageBreak/>
        <w:t xml:space="preserve">por </w:t>
      </w:r>
      <w:r w:rsidRPr="0033630D">
        <w:rPr>
          <w:rFonts w:ascii="Times New Roman" w:hAnsi="Times New Roman" w:cs="Times New Roman"/>
          <w:spacing w:val="-7"/>
          <w:w w:val="105"/>
          <w:sz w:val="29"/>
          <w:szCs w:val="29"/>
          <w:lang w:val="es"/>
        </w:rPr>
        <w:t xml:space="preserve">AWS. </w:t>
      </w:r>
      <w:r w:rsidRPr="0033630D">
        <w:rPr>
          <w:rFonts w:ascii="Times New Roman" w:hAnsi="Times New Roman" w:cs="Times New Roman"/>
          <w:w w:val="105"/>
          <w:sz w:val="29"/>
          <w:szCs w:val="29"/>
          <w:lang w:val="es"/>
        </w:rPr>
        <w:t>Los controles</w:t>
      </w:r>
      <w:r w:rsidRPr="0033630D">
        <w:rPr>
          <w:rFonts w:ascii="Times New Roman" w:hAnsi="Times New Roman" w:cs="Times New Roman"/>
          <w:sz w:val="29"/>
          <w:szCs w:val="29"/>
          <w:lang w:val="es"/>
        </w:rPr>
        <w:t xml:space="preserve"> clave </w:t>
      </w:r>
      <w:r w:rsidRPr="0033630D">
        <w:rPr>
          <w:rFonts w:ascii="Times New Roman" w:hAnsi="Times New Roman" w:cs="Times New Roman"/>
          <w:w w:val="105"/>
          <w:sz w:val="29"/>
          <w:szCs w:val="29"/>
          <w:lang w:val="es"/>
        </w:rPr>
        <w:t xml:space="preserve">son esenciales para el entorno de control del cliente y requieren </w:t>
      </w:r>
      <w:r w:rsidRPr="0033630D">
        <w:rPr>
          <w:rFonts w:ascii="Times New Roman" w:hAnsi="Times New Roman" w:cs="Times New Roman"/>
          <w:sz w:val="29"/>
          <w:szCs w:val="29"/>
          <w:lang w:val="es"/>
        </w:rPr>
        <w:t xml:space="preserve">certificación de la eficacia operativa de estos controles clave para cumplir con los requisitos de cumplimiento, como la auditoría financiera anual. </w:t>
      </w:r>
      <w:r w:rsidRPr="0033630D">
        <w:rPr>
          <w:rFonts w:ascii="Times New Roman" w:hAnsi="Times New Roman" w:cs="Times New Roman"/>
          <w:spacing w:val="-11"/>
          <w:sz w:val="29"/>
          <w:szCs w:val="29"/>
          <w:lang w:val="es"/>
        </w:rPr>
        <w:t xml:space="preserve">Con </w:t>
      </w:r>
      <w:r w:rsidRPr="0033630D">
        <w:rPr>
          <w:rFonts w:ascii="Times New Roman" w:hAnsi="Times New Roman" w:cs="Times New Roman"/>
          <w:sz w:val="29"/>
          <w:szCs w:val="29"/>
          <w:lang w:val="es"/>
        </w:rPr>
        <w:t>este fin,</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publica una amplia variedad de controles de TI específicos en su organización de servicios. </w:t>
      </w:r>
    </w:p>
    <w:p w14:paraId="151188E4" w14:textId="77777777" w:rsidR="00D07722" w:rsidRPr="0033630D" w:rsidRDefault="00D07722">
      <w:pPr>
        <w:spacing w:before="3"/>
        <w:rPr>
          <w:rFonts w:ascii="Times New Roman" w:eastAsia="Times New Roman" w:hAnsi="Times New Roman" w:cs="Times New Roman"/>
          <w:sz w:val="29"/>
          <w:szCs w:val="29"/>
          <w:lang w:val="es-ES"/>
        </w:rPr>
      </w:pPr>
    </w:p>
    <w:p w14:paraId="5CBD4D7F"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Control</w:t>
      </w:r>
      <w:r w:rsidRPr="0033630D">
        <w:rPr>
          <w:rFonts w:ascii="Times New Roman" w:hAnsi="Times New Roman" w:cs="Times New Roman"/>
          <w:b/>
          <w:spacing w:val="-19"/>
          <w:w w:val="105"/>
          <w:sz w:val="29"/>
          <w:szCs w:val="29"/>
        </w:rPr>
        <w:t xml:space="preserve"> </w:t>
      </w:r>
      <w:r w:rsidRPr="0033630D">
        <w:rPr>
          <w:rFonts w:ascii="Times New Roman" w:hAnsi="Times New Roman" w:cs="Times New Roman"/>
          <w:b/>
          <w:w w:val="105"/>
          <w:sz w:val="29"/>
          <w:szCs w:val="29"/>
        </w:rPr>
        <w:t>report</w:t>
      </w:r>
      <w:r w:rsidRPr="0033630D">
        <w:rPr>
          <w:rFonts w:ascii="Times New Roman" w:hAnsi="Times New Roman" w:cs="Times New Roman"/>
          <w:b/>
          <w:spacing w:val="-19"/>
          <w:w w:val="105"/>
          <w:sz w:val="29"/>
          <w:szCs w:val="29"/>
        </w:rPr>
        <w:t xml:space="preserve"> </w:t>
      </w:r>
      <w:r w:rsidRPr="0033630D">
        <w:rPr>
          <w:rFonts w:ascii="Times New Roman" w:hAnsi="Times New Roman" w:cs="Times New Roman"/>
          <w:b/>
          <w:w w:val="105"/>
          <w:sz w:val="29"/>
          <w:szCs w:val="29"/>
        </w:rPr>
        <w:t>1</w:t>
      </w:r>
      <w:r w:rsidRPr="0033630D">
        <w:rPr>
          <w:rFonts w:ascii="Times New Roman" w:hAnsi="Times New Roman" w:cs="Times New Roman"/>
          <w:b/>
          <w:spacing w:val="-18"/>
          <w:w w:val="105"/>
          <w:sz w:val="29"/>
          <w:szCs w:val="29"/>
        </w:rPr>
        <w:t xml:space="preserve"> </w:t>
      </w:r>
      <w:r w:rsidRPr="0033630D">
        <w:rPr>
          <w:rFonts w:ascii="Times New Roman" w:hAnsi="Times New Roman" w:cs="Times New Roman"/>
          <w:b/>
          <w:w w:val="105"/>
          <w:sz w:val="29"/>
          <w:szCs w:val="29"/>
        </w:rPr>
        <w:t>(SOC</w:t>
      </w:r>
      <w:r w:rsidRPr="0033630D">
        <w:rPr>
          <w:rFonts w:ascii="Times New Roman" w:hAnsi="Times New Roman" w:cs="Times New Roman"/>
          <w:b/>
          <w:spacing w:val="-19"/>
          <w:w w:val="105"/>
          <w:sz w:val="29"/>
          <w:szCs w:val="29"/>
        </w:rPr>
        <w:t xml:space="preserve"> </w:t>
      </w:r>
      <w:r w:rsidRPr="0033630D">
        <w:rPr>
          <w:rFonts w:ascii="Times New Roman" w:hAnsi="Times New Roman" w:cs="Times New Roman"/>
          <w:b/>
          <w:w w:val="105"/>
          <w:sz w:val="29"/>
          <w:szCs w:val="29"/>
        </w:rPr>
        <w:t>1)</w:t>
      </w:r>
      <w:r w:rsidRPr="0033630D">
        <w:rPr>
          <w:rFonts w:ascii="Times New Roman" w:hAnsi="Times New Roman" w:cs="Times New Roman"/>
          <w:b/>
          <w:spacing w:val="-19"/>
          <w:w w:val="105"/>
          <w:sz w:val="29"/>
          <w:szCs w:val="29"/>
        </w:rPr>
        <w:t xml:space="preserve"> </w:t>
      </w:r>
      <w:r w:rsidRPr="0033630D">
        <w:rPr>
          <w:rFonts w:ascii="Times New Roman" w:hAnsi="Times New Roman" w:cs="Times New Roman"/>
          <w:b/>
          <w:spacing w:val="-6"/>
          <w:w w:val="105"/>
          <w:sz w:val="29"/>
          <w:szCs w:val="29"/>
        </w:rPr>
        <w:t>Type</w:t>
      </w:r>
      <w:r w:rsidRPr="0033630D">
        <w:rPr>
          <w:rFonts w:ascii="Times New Roman" w:hAnsi="Times New Roman" w:cs="Times New Roman"/>
          <w:b/>
          <w:spacing w:val="-19"/>
          <w:w w:val="105"/>
          <w:sz w:val="29"/>
          <w:szCs w:val="29"/>
        </w:rPr>
        <w:t xml:space="preserve"> </w:t>
      </w:r>
      <w:r w:rsidRPr="0033630D">
        <w:rPr>
          <w:rFonts w:ascii="Times New Roman" w:hAnsi="Times New Roman" w:cs="Times New Roman"/>
          <w:b/>
          <w:w w:val="105"/>
          <w:sz w:val="29"/>
          <w:szCs w:val="29"/>
        </w:rPr>
        <w:t>II.</w:t>
      </w:r>
    </w:p>
    <w:p w14:paraId="604DF608" w14:textId="6023A268" w:rsidR="001A468E" w:rsidRPr="0033630D" w:rsidRDefault="001A468E" w:rsidP="003243F2">
      <w:pPr>
        <w:spacing w:before="172" w:line="242"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El informe SOC 1, anteriormente la Declaración del Informe de las Organizaciones de Servicios sobre Normas de Auditoría (SAS) No. 70, es un estándar de auditoría comúnmente aceptado establecido por el Instituto Americano de Contadores Públicos Certificados. La auditoría SOC 1 es una auditoría interna del diseño y la eficacia operativa de los objetivos de control y las actividades de control identificados por</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(incluidos los objetivos de control y actividades de control por parte de la infraestructura controlada por</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5"/>
          <w:sz w:val="29"/>
          <w:szCs w:val="29"/>
          <w:lang w:val="es"/>
        </w:rPr>
        <w:t>«Tipo</w:t>
      </w:r>
      <w:r w:rsidRPr="0033630D">
        <w:rPr>
          <w:rFonts w:ascii="Times New Roman" w:hAnsi="Times New Roman" w:cs="Times New Roman"/>
          <w:sz w:val="29"/>
          <w:szCs w:val="29"/>
          <w:lang w:val="es"/>
        </w:rPr>
        <w:t xml:space="preserve"> II» se refiere al hecho de que cada uno de los controles mencionados en el informe no solo es verificado por el auditor externo para determinar su adecuación del diseño, sino que también se evalúa. para el rendimiento operativo. Debido a la independencia e integridad del auditor externo de</w:t>
      </w:r>
      <w:r w:rsidRPr="0033630D">
        <w:rPr>
          <w:rFonts w:ascii="Times New Roman" w:hAnsi="Times New Roman" w:cs="Times New Roman"/>
          <w:spacing w:val="-7"/>
          <w:sz w:val="29"/>
          <w:szCs w:val="29"/>
          <w:lang w:val="es"/>
        </w:rPr>
        <w:t xml:space="preserve"> AWS,</w:t>
      </w:r>
      <w:r w:rsidRPr="0033630D">
        <w:rPr>
          <w:rFonts w:ascii="Times New Roman" w:hAnsi="Times New Roman" w:cs="Times New Roman"/>
          <w:sz w:val="29"/>
          <w:szCs w:val="29"/>
          <w:lang w:val="es"/>
        </w:rPr>
        <w:t xml:space="preserve"> los controles definidos en el informe deben dar a los clientes un alto grado de confianza en el entorno de control de </w:t>
      </w:r>
      <w:r w:rsidRPr="0033630D">
        <w:rPr>
          <w:rFonts w:ascii="Times New Roman" w:hAnsi="Times New Roman" w:cs="Times New Roman"/>
          <w:spacing w:val="-9"/>
          <w:sz w:val="29"/>
          <w:szCs w:val="29"/>
          <w:lang w:val="es"/>
        </w:rPr>
        <w:t>AWS</w:t>
      </w:r>
      <w:r w:rsidR="000311A7">
        <w:rPr>
          <w:rFonts w:ascii="Times New Roman" w:hAnsi="Times New Roman" w:cs="Times New Roman"/>
          <w:spacing w:val="-9"/>
          <w:sz w:val="29"/>
          <w:szCs w:val="29"/>
          <w:lang w:val="es"/>
        </w:rPr>
        <w:t>.</w:t>
      </w:r>
    </w:p>
    <w:p w14:paraId="29E4783C" w14:textId="77777777" w:rsidR="001A468E" w:rsidRPr="0033630D" w:rsidRDefault="001A468E" w:rsidP="003243F2">
      <w:pPr>
        <w:spacing w:before="6"/>
        <w:rPr>
          <w:rFonts w:ascii="Times New Roman" w:eastAsia="Times New Roman" w:hAnsi="Times New Roman" w:cs="Times New Roman"/>
          <w:sz w:val="29"/>
          <w:szCs w:val="29"/>
          <w:lang w:val="es-ES"/>
        </w:rPr>
      </w:pPr>
    </w:p>
    <w:p w14:paraId="3CE55BC8" w14:textId="45EA5AAA" w:rsidR="001A468E" w:rsidRPr="0033630D" w:rsidRDefault="001A468E" w:rsidP="003243F2">
      <w:pPr>
        <w:pStyle w:val="Textoindependiente"/>
        <w:spacing w:line="332" w:lineRule="exact"/>
        <w:ind w:right="102"/>
        <w:jc w:val="both"/>
        <w:rPr>
          <w:rFonts w:cs="Times New Roman"/>
          <w:lang w:val="es-ES"/>
        </w:rPr>
      </w:pPr>
      <w:r w:rsidRPr="0033630D">
        <w:rPr>
          <w:rFonts w:cs="Times New Roman"/>
          <w:spacing w:val="-9"/>
          <w:lang w:val="es"/>
        </w:rPr>
        <w:t>Las</w:t>
      </w:r>
      <w:r w:rsidRPr="0033630D">
        <w:rPr>
          <w:rFonts w:cs="Times New Roman"/>
          <w:lang w:val="es"/>
        </w:rPr>
        <w:t xml:space="preserve"> auditorías de AWS están diseñadas y creadas para funcionar de manera efectiva para muchos fines de conformidad, incluidas las auditorías de los estados financieros de la Sección 404 de Sarbanes-Oxley (SOX). El uso de informes SOC 1 </w:t>
      </w:r>
      <w:r w:rsidRPr="0033630D">
        <w:rPr>
          <w:rFonts w:cs="Times New Roman"/>
          <w:spacing w:val="-6"/>
          <w:lang w:val="es"/>
        </w:rPr>
        <w:t xml:space="preserve">Tipo </w:t>
      </w:r>
      <w:r w:rsidRPr="0033630D">
        <w:rPr>
          <w:rFonts w:cs="Times New Roman"/>
          <w:lang w:val="es"/>
        </w:rPr>
        <w:t>II según lo generalmente permitido por otras autoridades de certificación de terceros (por ejemplo, los auditores ISO 27001 pueden solicitar un informe SOC 1</w:t>
      </w:r>
      <w:r w:rsidRPr="0033630D">
        <w:rPr>
          <w:rFonts w:cs="Times New Roman"/>
          <w:spacing w:val="-6"/>
          <w:lang w:val="es"/>
        </w:rPr>
        <w:t xml:space="preserve"> Tipo</w:t>
      </w:r>
      <w:r w:rsidRPr="0033630D">
        <w:rPr>
          <w:rFonts w:cs="Times New Roman"/>
          <w:lang w:val="es"/>
        </w:rPr>
        <w:t xml:space="preserve"> II para completar sus revisiones de clientes).</w:t>
      </w:r>
    </w:p>
    <w:p w14:paraId="45FED428" w14:textId="77777777" w:rsidR="001A468E" w:rsidRPr="0033630D" w:rsidRDefault="001A468E" w:rsidP="003243F2">
      <w:pPr>
        <w:spacing w:before="1"/>
        <w:rPr>
          <w:rFonts w:ascii="Times New Roman" w:eastAsia="Times New Roman" w:hAnsi="Times New Roman" w:cs="Times New Roman"/>
          <w:sz w:val="29"/>
          <w:szCs w:val="29"/>
          <w:lang w:val="es-ES"/>
        </w:rPr>
      </w:pPr>
    </w:p>
    <w:p w14:paraId="5C1DEDD4" w14:textId="43AA6D7A" w:rsidR="001A468E" w:rsidRPr="0033630D" w:rsidRDefault="001A468E" w:rsidP="003243F2">
      <w:pPr>
        <w:spacing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Otras actividades de monitoreo específicas están relacionadas con el cumplimiento 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por parte de la industria de tarjetas de pago (PCI) y la Ley Federal de Administración de Seguridad de la Información (FISMA).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cumple con FISMA </w:t>
      </w:r>
      <w:proofErr w:type="spellStart"/>
      <w:r w:rsidRPr="0033630D">
        <w:rPr>
          <w:rFonts w:ascii="Times New Roman" w:hAnsi="Times New Roman" w:cs="Times New Roman"/>
          <w:sz w:val="29"/>
          <w:szCs w:val="29"/>
          <w:lang w:val="es"/>
        </w:rPr>
        <w:t>Moderate</w:t>
      </w:r>
      <w:proofErr w:type="spellEnd"/>
      <w:r w:rsidRPr="0033630D">
        <w:rPr>
          <w:rFonts w:ascii="Times New Roman" w:hAnsi="Times New Roman" w:cs="Times New Roman"/>
          <w:sz w:val="29"/>
          <w:szCs w:val="29"/>
          <w:lang w:val="es"/>
        </w:rPr>
        <w:t xml:space="preserve"> y EL ESTÁNDAR DE SEGURIDAD DE DATOS PCI</w:t>
      </w:r>
      <w:r w:rsidR="000311A7">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Estos estándares PCI y FISMA son altamente prescriptivos y requieren una validación independiente para que </w:t>
      </w:r>
      <w:r w:rsidRPr="0033630D">
        <w:rPr>
          <w:rFonts w:ascii="Times New Roman" w:hAnsi="Times New Roman" w:cs="Times New Roman"/>
          <w:spacing w:val="-8"/>
          <w:sz w:val="29"/>
          <w:szCs w:val="29"/>
          <w:lang w:val="es"/>
        </w:rPr>
        <w:t xml:space="preserve">AWS </w:t>
      </w:r>
      <w:r w:rsidRPr="0033630D">
        <w:rPr>
          <w:rFonts w:ascii="Times New Roman" w:hAnsi="Times New Roman" w:cs="Times New Roman"/>
          <w:sz w:val="29"/>
          <w:szCs w:val="29"/>
          <w:lang w:val="es"/>
        </w:rPr>
        <w:t>cumpla con el estándar publicado</w:t>
      </w:r>
      <w:r w:rsidR="000311A7">
        <w:rPr>
          <w:rFonts w:ascii="Times New Roman" w:hAnsi="Times New Roman" w:cs="Times New Roman"/>
          <w:sz w:val="29"/>
          <w:szCs w:val="29"/>
          <w:lang w:val="es"/>
        </w:rPr>
        <w:t>.</w:t>
      </w:r>
    </w:p>
    <w:p w14:paraId="59BC54B0" w14:textId="77777777" w:rsidR="00D07722" w:rsidRPr="0033630D" w:rsidRDefault="00D07722">
      <w:pPr>
        <w:spacing w:before="10"/>
        <w:rPr>
          <w:rFonts w:ascii="Times New Roman" w:eastAsia="Times New Roman" w:hAnsi="Times New Roman" w:cs="Times New Roman"/>
          <w:sz w:val="29"/>
          <w:szCs w:val="29"/>
          <w:lang w:val="es-ES"/>
        </w:rPr>
      </w:pPr>
    </w:p>
    <w:p w14:paraId="2909DC80" w14:textId="77777777" w:rsidR="00D07722" w:rsidRPr="0033630D" w:rsidRDefault="004B3E50">
      <w:pPr>
        <w:ind w:left="100"/>
        <w:jc w:val="both"/>
        <w:rPr>
          <w:rFonts w:ascii="Times New Roman" w:eastAsia="Times New Roman" w:hAnsi="Times New Roman" w:cs="Times New Roman"/>
          <w:sz w:val="29"/>
          <w:szCs w:val="29"/>
        </w:rPr>
      </w:pPr>
      <w:r w:rsidRPr="0033630D">
        <w:rPr>
          <w:rFonts w:ascii="Times New Roman" w:hAnsi="Times New Roman" w:cs="Times New Roman"/>
          <w:b/>
          <w:w w:val="105"/>
          <w:sz w:val="29"/>
          <w:szCs w:val="29"/>
        </w:rPr>
        <w:t>Compliance</w:t>
      </w:r>
      <w:r w:rsidRPr="0033630D">
        <w:rPr>
          <w:rFonts w:ascii="Times New Roman" w:hAnsi="Times New Roman" w:cs="Times New Roman"/>
          <w:b/>
          <w:spacing w:val="-38"/>
          <w:w w:val="105"/>
          <w:sz w:val="29"/>
          <w:szCs w:val="29"/>
        </w:rPr>
        <w:t xml:space="preserve"> </w:t>
      </w:r>
      <w:r w:rsidRPr="0033630D">
        <w:rPr>
          <w:rFonts w:ascii="Times New Roman" w:hAnsi="Times New Roman" w:cs="Times New Roman"/>
          <w:b/>
          <w:w w:val="105"/>
          <w:sz w:val="29"/>
          <w:szCs w:val="29"/>
        </w:rPr>
        <w:t>with</w:t>
      </w:r>
      <w:r w:rsidRPr="0033630D">
        <w:rPr>
          <w:rFonts w:ascii="Times New Roman" w:hAnsi="Times New Roman" w:cs="Times New Roman"/>
          <w:b/>
          <w:spacing w:val="-38"/>
          <w:w w:val="105"/>
          <w:sz w:val="29"/>
          <w:szCs w:val="29"/>
        </w:rPr>
        <w:t xml:space="preserve"> </w:t>
      </w:r>
      <w:r w:rsidRPr="0033630D">
        <w:rPr>
          <w:rFonts w:ascii="Times New Roman" w:hAnsi="Times New Roman" w:cs="Times New Roman"/>
          <w:b/>
          <w:w w:val="105"/>
          <w:sz w:val="29"/>
          <w:szCs w:val="29"/>
        </w:rPr>
        <w:t>General</w:t>
      </w:r>
      <w:r w:rsidRPr="0033630D">
        <w:rPr>
          <w:rFonts w:ascii="Times New Roman" w:hAnsi="Times New Roman" w:cs="Times New Roman"/>
          <w:b/>
          <w:spacing w:val="-38"/>
          <w:w w:val="105"/>
          <w:sz w:val="29"/>
          <w:szCs w:val="29"/>
        </w:rPr>
        <w:t xml:space="preserve"> </w:t>
      </w:r>
      <w:r w:rsidRPr="0033630D">
        <w:rPr>
          <w:rFonts w:ascii="Times New Roman" w:hAnsi="Times New Roman" w:cs="Times New Roman"/>
          <w:b/>
          <w:w w:val="105"/>
          <w:sz w:val="29"/>
          <w:szCs w:val="29"/>
        </w:rPr>
        <w:t>Auditing</w:t>
      </w:r>
      <w:r w:rsidRPr="0033630D">
        <w:rPr>
          <w:rFonts w:ascii="Times New Roman" w:hAnsi="Times New Roman" w:cs="Times New Roman"/>
          <w:b/>
          <w:spacing w:val="-38"/>
          <w:w w:val="105"/>
          <w:sz w:val="29"/>
          <w:szCs w:val="29"/>
        </w:rPr>
        <w:t xml:space="preserve"> </w:t>
      </w:r>
      <w:r w:rsidRPr="0033630D">
        <w:rPr>
          <w:rFonts w:ascii="Times New Roman" w:hAnsi="Times New Roman" w:cs="Times New Roman"/>
          <w:b/>
          <w:w w:val="105"/>
          <w:sz w:val="29"/>
          <w:szCs w:val="29"/>
        </w:rPr>
        <w:t>Standards.</w:t>
      </w:r>
    </w:p>
    <w:p w14:paraId="46E46C66" w14:textId="0E29E115" w:rsidR="001A468E" w:rsidRPr="0033630D" w:rsidRDefault="001A468E" w:rsidP="00631F0E">
      <w:pPr>
        <w:spacing w:before="182"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Si un cliente de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necesita que se cumpla un amplio conjunto de objetivos de auditoría, se puede realizar una evaluación de las certificaciones del sector de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4"/>
          <w:sz w:val="29"/>
          <w:szCs w:val="29"/>
          <w:lang w:val="es"/>
        </w:rPr>
        <w:t>Con</w:t>
      </w:r>
      <w:r w:rsidRPr="0033630D">
        <w:rPr>
          <w:rFonts w:ascii="Times New Roman" w:hAnsi="Times New Roman" w:cs="Times New Roman"/>
          <w:spacing w:val="-8"/>
          <w:sz w:val="29"/>
          <w:szCs w:val="29"/>
          <w:lang w:val="es"/>
        </w:rPr>
        <w:t xml:space="preserve"> la</w:t>
      </w:r>
      <w:r w:rsidRPr="0033630D">
        <w:rPr>
          <w:rFonts w:ascii="Times New Roman" w:hAnsi="Times New Roman" w:cs="Times New Roman"/>
          <w:sz w:val="29"/>
          <w:szCs w:val="29"/>
          <w:lang w:val="es"/>
        </w:rPr>
        <w:t xml:space="preserve"> certificación AWS ISO 27001,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se adhiere a un estándar de seguridad amplio e integral y sigue las prácticas recomendadas para mantener </w:t>
      </w:r>
      <w:r w:rsidRPr="0033630D">
        <w:rPr>
          <w:rFonts w:ascii="Times New Roman" w:hAnsi="Times New Roman" w:cs="Times New Roman"/>
          <w:sz w:val="29"/>
          <w:szCs w:val="29"/>
          <w:lang w:val="es"/>
        </w:rPr>
        <w:lastRenderedPageBreak/>
        <w:t>un entorno seguro. Junto con el estándar de seguridad de datos PCI (PCI DSS),</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cumple con una serie de controles clave para las empresas que administran la información de las tarjetas de crédito. Como </w:t>
      </w:r>
      <w:r w:rsidRPr="0033630D">
        <w:rPr>
          <w:rFonts w:ascii="Times New Roman" w:hAnsi="Times New Roman" w:cs="Times New Roman"/>
          <w:spacing w:val="-8"/>
          <w:sz w:val="29"/>
          <w:szCs w:val="29"/>
          <w:lang w:val="es"/>
        </w:rPr>
        <w:t xml:space="preserve">AWS </w:t>
      </w:r>
      <w:r w:rsidRPr="0033630D">
        <w:rPr>
          <w:rFonts w:ascii="Times New Roman" w:hAnsi="Times New Roman" w:cs="Times New Roman"/>
          <w:sz w:val="29"/>
          <w:szCs w:val="29"/>
          <w:lang w:val="es"/>
        </w:rPr>
        <w:t>es compatible con FISMA,</w:t>
      </w:r>
      <w:r w:rsidR="00631F0E">
        <w:rPr>
          <w:rFonts w:ascii="Times New Roman" w:eastAsia="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cumple con una amplia variedad de controles específicos requeridos por las agencias gubernamentales de EE. UU. La adhesión a estos estándares globales proporciona a los clientes información detallada sobre la naturaleza general de los controles y procesos de seguridad implementados, que se pueden tener en cuenta al administrar el cumplimiento.</w:t>
      </w:r>
    </w:p>
    <w:p w14:paraId="6E9F1C52" w14:textId="77777777" w:rsidR="00D07722" w:rsidRPr="0033630D" w:rsidRDefault="00D07722">
      <w:pPr>
        <w:spacing w:before="2"/>
        <w:rPr>
          <w:rFonts w:ascii="Times New Roman" w:eastAsia="Times New Roman" w:hAnsi="Times New Roman" w:cs="Times New Roman"/>
          <w:sz w:val="29"/>
          <w:szCs w:val="29"/>
          <w:lang w:val="es-ES"/>
        </w:rPr>
      </w:pPr>
    </w:p>
    <w:p w14:paraId="690E5BC4" w14:textId="77777777" w:rsidR="00D07722" w:rsidRPr="0033630D" w:rsidRDefault="004B3E50">
      <w:pPr>
        <w:ind w:left="100"/>
        <w:jc w:val="both"/>
        <w:rPr>
          <w:rFonts w:ascii="Times New Roman" w:eastAsia="Times New Roman" w:hAnsi="Times New Roman" w:cs="Times New Roman"/>
          <w:sz w:val="29"/>
          <w:szCs w:val="29"/>
          <w:lang w:val="es-ES"/>
        </w:rPr>
      </w:pPr>
      <w:r w:rsidRPr="0033630D">
        <w:rPr>
          <w:rFonts w:ascii="Times New Roman" w:hAnsi="Times New Roman" w:cs="Times New Roman"/>
          <w:b/>
          <w:spacing w:val="-11"/>
          <w:w w:val="105"/>
          <w:sz w:val="29"/>
          <w:szCs w:val="29"/>
          <w:lang w:val="es-ES"/>
        </w:rPr>
        <w:t xml:space="preserve">AWS </w:t>
      </w:r>
      <w:r w:rsidRPr="0033630D">
        <w:rPr>
          <w:rFonts w:ascii="Times New Roman" w:hAnsi="Times New Roman" w:cs="Times New Roman"/>
          <w:b/>
          <w:w w:val="105"/>
          <w:sz w:val="29"/>
          <w:szCs w:val="29"/>
          <w:lang w:val="es-ES"/>
        </w:rPr>
        <w:t>Global</w:t>
      </w:r>
      <w:r w:rsidRPr="0033630D">
        <w:rPr>
          <w:rFonts w:ascii="Times New Roman" w:hAnsi="Times New Roman" w:cs="Times New Roman"/>
          <w:b/>
          <w:spacing w:val="-52"/>
          <w:w w:val="105"/>
          <w:sz w:val="29"/>
          <w:szCs w:val="29"/>
          <w:lang w:val="es-ES"/>
        </w:rPr>
        <w:t xml:space="preserve"> </w:t>
      </w:r>
      <w:proofErr w:type="spellStart"/>
      <w:r w:rsidRPr="0033630D">
        <w:rPr>
          <w:rFonts w:ascii="Times New Roman" w:hAnsi="Times New Roman" w:cs="Times New Roman"/>
          <w:b/>
          <w:w w:val="105"/>
          <w:sz w:val="29"/>
          <w:szCs w:val="29"/>
          <w:lang w:val="es-ES"/>
        </w:rPr>
        <w:t>Regions</w:t>
      </w:r>
      <w:proofErr w:type="spellEnd"/>
    </w:p>
    <w:p w14:paraId="3D69A617" w14:textId="1F52AEFC" w:rsidR="001A468E" w:rsidRPr="0033630D" w:rsidRDefault="001A468E" w:rsidP="001E0101">
      <w:pPr>
        <w:spacing w:before="172" w:line="247"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Los centros de datos se construyen en clústeres en diferentes regiones del mundo, incluidos EE. UU. Este (Norte de</w:t>
      </w:r>
      <w:r w:rsidRPr="0033630D">
        <w:rPr>
          <w:rFonts w:ascii="Times New Roman" w:hAnsi="Times New Roman" w:cs="Times New Roman"/>
          <w:spacing w:val="-3"/>
          <w:sz w:val="29"/>
          <w:szCs w:val="29"/>
          <w:lang w:val="es"/>
        </w:rPr>
        <w:t xml:space="preserve"> Virginia),</w:t>
      </w:r>
      <w:r w:rsidRPr="0033630D">
        <w:rPr>
          <w:rFonts w:ascii="Times New Roman" w:hAnsi="Times New Roman" w:cs="Times New Roman"/>
          <w:sz w:val="29"/>
          <w:szCs w:val="29"/>
          <w:lang w:val="es"/>
        </w:rPr>
        <w:t xml:space="preserve"> EE. UU. </w:t>
      </w:r>
      <w:r w:rsidRPr="0033630D">
        <w:rPr>
          <w:rFonts w:ascii="Times New Roman" w:hAnsi="Times New Roman" w:cs="Times New Roman"/>
          <w:spacing w:val="-7"/>
          <w:sz w:val="29"/>
          <w:szCs w:val="29"/>
          <w:lang w:val="es"/>
        </w:rPr>
        <w:t>Oeste</w:t>
      </w:r>
      <w:r w:rsidRPr="0033630D">
        <w:rPr>
          <w:rFonts w:ascii="Times New Roman" w:hAnsi="Times New Roman" w:cs="Times New Roman"/>
          <w:sz w:val="29"/>
          <w:szCs w:val="29"/>
          <w:lang w:val="es"/>
        </w:rPr>
        <w:t xml:space="preserve"> (Oregón), EE. UU.</w:t>
      </w:r>
      <w:r w:rsidRPr="0033630D">
        <w:rPr>
          <w:rFonts w:ascii="Times New Roman" w:hAnsi="Times New Roman" w:cs="Times New Roman"/>
          <w:spacing w:val="-7"/>
          <w:sz w:val="29"/>
          <w:szCs w:val="29"/>
          <w:lang w:val="es"/>
        </w:rPr>
        <w:t xml:space="preserve"> Oeste</w:t>
      </w:r>
      <w:r w:rsidRPr="0033630D">
        <w:rPr>
          <w:rFonts w:ascii="Times New Roman" w:hAnsi="Times New Roman" w:cs="Times New Roman"/>
          <w:sz w:val="29"/>
          <w:szCs w:val="29"/>
          <w:lang w:val="es"/>
        </w:rPr>
        <w:t xml:space="preserve"> (Norte de California),</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GovCloud</w:t>
      </w:r>
      <w:proofErr w:type="spellEnd"/>
      <w:r w:rsidRPr="0033630D">
        <w:rPr>
          <w:rFonts w:ascii="Times New Roman" w:hAnsi="Times New Roman" w:cs="Times New Roman"/>
          <w:sz w:val="29"/>
          <w:szCs w:val="29"/>
          <w:lang w:val="es"/>
        </w:rPr>
        <w:t xml:space="preserve"> (EE. UU.) (Oregón), UE (Frankfurt), UE (Irlanda)), Asia-Pacífico (Seúl), Asia-Pacífico (Singapur), Asia-Pacífico</w:t>
      </w:r>
      <w:r w:rsidRPr="0033630D">
        <w:rPr>
          <w:rFonts w:ascii="Times New Roman" w:hAnsi="Times New Roman" w:cs="Times New Roman"/>
          <w:spacing w:val="-3"/>
          <w:sz w:val="29"/>
          <w:szCs w:val="29"/>
          <w:lang w:val="es"/>
        </w:rPr>
        <w:t xml:space="preserve"> (Tokio),</w:t>
      </w:r>
      <w:r w:rsidRPr="0033630D">
        <w:rPr>
          <w:rFonts w:ascii="Times New Roman" w:hAnsi="Times New Roman" w:cs="Times New Roman"/>
          <w:sz w:val="29"/>
          <w:szCs w:val="29"/>
          <w:lang w:val="es"/>
        </w:rPr>
        <w:t xml:space="preserve"> Asia-Pacífico (</w:t>
      </w:r>
      <w:proofErr w:type="spellStart"/>
      <w:r w:rsidRPr="0033630D">
        <w:rPr>
          <w:rFonts w:ascii="Times New Roman" w:hAnsi="Times New Roman" w:cs="Times New Roman"/>
          <w:sz w:val="29"/>
          <w:szCs w:val="29"/>
          <w:lang w:val="es"/>
        </w:rPr>
        <w:t>Sydney</w:t>
      </w:r>
      <w:proofErr w:type="spellEnd"/>
      <w:r w:rsidRPr="0033630D">
        <w:rPr>
          <w:rFonts w:ascii="Times New Roman" w:hAnsi="Times New Roman" w:cs="Times New Roman"/>
          <w:sz w:val="29"/>
          <w:szCs w:val="29"/>
          <w:lang w:val="es"/>
        </w:rPr>
        <w:t>), China (Beijing) y América del Sur (Sao Paulo).</w:t>
      </w:r>
    </w:p>
    <w:p w14:paraId="398BD171" w14:textId="77777777" w:rsidR="00D07722" w:rsidRPr="0033630D" w:rsidRDefault="00D07722">
      <w:pPr>
        <w:spacing w:before="6"/>
        <w:rPr>
          <w:rFonts w:ascii="Times New Roman" w:eastAsia="Times New Roman" w:hAnsi="Times New Roman" w:cs="Times New Roman"/>
          <w:sz w:val="29"/>
          <w:szCs w:val="29"/>
          <w:lang w:val="es-ES"/>
        </w:rPr>
      </w:pPr>
    </w:p>
    <w:sectPr w:rsidR="00D07722" w:rsidRPr="0033630D" w:rsidSect="001C647B">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3"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4"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8"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29"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1"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2"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3"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4"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5"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7" w15:restartNumberingAfterBreak="0">
    <w:nsid w:val="31414FD0"/>
    <w:multiLevelType w:val="hybridMultilevel"/>
    <w:tmpl w:val="605C1C62"/>
    <w:lvl w:ilvl="0" w:tplc="636A678A">
      <w:start w:val="1"/>
      <w:numFmt w:val="upperLetter"/>
      <w:lvlText w:val="%1."/>
      <w:lvlJc w:val="left"/>
      <w:pPr>
        <w:ind w:left="451" w:hanging="352"/>
      </w:pPr>
      <w:rPr>
        <w:rFonts w:ascii="Times New Roman" w:eastAsia="Times New Roman" w:hAnsi="Times New Roman" w:hint="default"/>
        <w:spacing w:val="-1"/>
        <w:w w:val="99"/>
      </w:rPr>
    </w:lvl>
    <w:lvl w:ilvl="1" w:tplc="71BCD99A">
      <w:start w:val="1"/>
      <w:numFmt w:val="bullet"/>
      <w:lvlText w:val="•"/>
      <w:lvlJc w:val="left"/>
      <w:pPr>
        <w:ind w:left="1378" w:hanging="352"/>
      </w:pPr>
      <w:rPr>
        <w:rFonts w:hint="default"/>
      </w:rPr>
    </w:lvl>
    <w:lvl w:ilvl="2" w:tplc="6A1AF364">
      <w:start w:val="1"/>
      <w:numFmt w:val="bullet"/>
      <w:lvlText w:val="•"/>
      <w:lvlJc w:val="left"/>
      <w:pPr>
        <w:ind w:left="2296" w:hanging="352"/>
      </w:pPr>
      <w:rPr>
        <w:rFonts w:hint="default"/>
      </w:rPr>
    </w:lvl>
    <w:lvl w:ilvl="3" w:tplc="EFF2D036">
      <w:start w:val="1"/>
      <w:numFmt w:val="bullet"/>
      <w:lvlText w:val="•"/>
      <w:lvlJc w:val="left"/>
      <w:pPr>
        <w:ind w:left="3214" w:hanging="352"/>
      </w:pPr>
      <w:rPr>
        <w:rFonts w:hint="default"/>
      </w:rPr>
    </w:lvl>
    <w:lvl w:ilvl="4" w:tplc="25B0489C">
      <w:start w:val="1"/>
      <w:numFmt w:val="bullet"/>
      <w:lvlText w:val="•"/>
      <w:lvlJc w:val="left"/>
      <w:pPr>
        <w:ind w:left="4132" w:hanging="352"/>
      </w:pPr>
      <w:rPr>
        <w:rFonts w:hint="default"/>
      </w:rPr>
    </w:lvl>
    <w:lvl w:ilvl="5" w:tplc="201E9004">
      <w:start w:val="1"/>
      <w:numFmt w:val="bullet"/>
      <w:lvlText w:val="•"/>
      <w:lvlJc w:val="left"/>
      <w:pPr>
        <w:ind w:left="5050" w:hanging="352"/>
      </w:pPr>
      <w:rPr>
        <w:rFonts w:hint="default"/>
      </w:rPr>
    </w:lvl>
    <w:lvl w:ilvl="6" w:tplc="76841E42">
      <w:start w:val="1"/>
      <w:numFmt w:val="bullet"/>
      <w:lvlText w:val="•"/>
      <w:lvlJc w:val="left"/>
      <w:pPr>
        <w:ind w:left="5968" w:hanging="352"/>
      </w:pPr>
      <w:rPr>
        <w:rFonts w:hint="default"/>
      </w:rPr>
    </w:lvl>
    <w:lvl w:ilvl="7" w:tplc="2BC80130">
      <w:start w:val="1"/>
      <w:numFmt w:val="bullet"/>
      <w:lvlText w:val="•"/>
      <w:lvlJc w:val="left"/>
      <w:pPr>
        <w:ind w:left="6886" w:hanging="352"/>
      </w:pPr>
      <w:rPr>
        <w:rFonts w:hint="default"/>
      </w:rPr>
    </w:lvl>
    <w:lvl w:ilvl="8" w:tplc="E9FABEBC">
      <w:start w:val="1"/>
      <w:numFmt w:val="bullet"/>
      <w:lvlText w:val="•"/>
      <w:lvlJc w:val="left"/>
      <w:pPr>
        <w:ind w:left="7804" w:hanging="352"/>
      </w:pPr>
      <w:rPr>
        <w:rFonts w:hint="default"/>
      </w:rPr>
    </w:lvl>
  </w:abstractNum>
  <w:abstractNum w:abstractNumId="38"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9"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0"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2"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5"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6"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7"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49"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0"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1"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2"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4"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5"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8"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0"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3"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5"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6"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8"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1"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4"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5"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8"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0"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1"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2"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3"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5"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6"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8"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9"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2"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3"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85537279">
    <w:abstractNumId w:val="48"/>
  </w:num>
  <w:num w:numId="2" w16cid:durableId="1078400883">
    <w:abstractNumId w:val="50"/>
  </w:num>
  <w:num w:numId="3" w16cid:durableId="1838501630">
    <w:abstractNumId w:val="77"/>
  </w:num>
  <w:num w:numId="4" w16cid:durableId="276571999">
    <w:abstractNumId w:val="46"/>
  </w:num>
  <w:num w:numId="5" w16cid:durableId="1538660747">
    <w:abstractNumId w:val="21"/>
  </w:num>
  <w:num w:numId="6" w16cid:durableId="966854917">
    <w:abstractNumId w:val="44"/>
  </w:num>
  <w:num w:numId="7" w16cid:durableId="2107072029">
    <w:abstractNumId w:val="79"/>
  </w:num>
  <w:num w:numId="8" w16cid:durableId="580213435">
    <w:abstractNumId w:val="57"/>
  </w:num>
  <w:num w:numId="9" w16cid:durableId="1943564823">
    <w:abstractNumId w:val="91"/>
  </w:num>
  <w:num w:numId="10" w16cid:durableId="1230925987">
    <w:abstractNumId w:val="59"/>
  </w:num>
  <w:num w:numId="11" w16cid:durableId="33845101">
    <w:abstractNumId w:val="85"/>
  </w:num>
  <w:num w:numId="12" w16cid:durableId="2015113036">
    <w:abstractNumId w:val="8"/>
  </w:num>
  <w:num w:numId="13" w16cid:durableId="1212767553">
    <w:abstractNumId w:val="32"/>
  </w:num>
  <w:num w:numId="14" w16cid:durableId="448860436">
    <w:abstractNumId w:val="30"/>
  </w:num>
  <w:num w:numId="15" w16cid:durableId="1897429139">
    <w:abstractNumId w:val="62"/>
  </w:num>
  <w:num w:numId="16" w16cid:durableId="230845852">
    <w:abstractNumId w:val="0"/>
  </w:num>
  <w:num w:numId="17" w16cid:durableId="631442797">
    <w:abstractNumId w:val="31"/>
  </w:num>
  <w:num w:numId="18" w16cid:durableId="648437768">
    <w:abstractNumId w:val="64"/>
  </w:num>
  <w:num w:numId="19" w16cid:durableId="818958851">
    <w:abstractNumId w:val="80"/>
  </w:num>
  <w:num w:numId="20" w16cid:durableId="195971309">
    <w:abstractNumId w:val="28"/>
  </w:num>
  <w:num w:numId="21" w16cid:durableId="1672834616">
    <w:abstractNumId w:val="53"/>
  </w:num>
  <w:num w:numId="22" w16cid:durableId="1538732795">
    <w:abstractNumId w:val="70"/>
  </w:num>
  <w:num w:numId="23" w16cid:durableId="1177425632">
    <w:abstractNumId w:val="36"/>
  </w:num>
  <w:num w:numId="24" w16cid:durableId="2109932241">
    <w:abstractNumId w:val="15"/>
  </w:num>
  <w:num w:numId="25" w16cid:durableId="817266194">
    <w:abstractNumId w:val="73"/>
  </w:num>
  <w:num w:numId="26" w16cid:durableId="763115450">
    <w:abstractNumId w:val="49"/>
  </w:num>
  <w:num w:numId="27" w16cid:durableId="276958450">
    <w:abstractNumId w:val="92"/>
  </w:num>
  <w:num w:numId="28" w16cid:durableId="2140679466">
    <w:abstractNumId w:val="12"/>
  </w:num>
  <w:num w:numId="29" w16cid:durableId="1304700784">
    <w:abstractNumId w:val="22"/>
  </w:num>
  <w:num w:numId="30" w16cid:durableId="1589145731">
    <w:abstractNumId w:val="94"/>
  </w:num>
  <w:num w:numId="31" w16cid:durableId="712733080">
    <w:abstractNumId w:val="65"/>
  </w:num>
  <w:num w:numId="32" w16cid:durableId="712193905">
    <w:abstractNumId w:val="51"/>
  </w:num>
  <w:num w:numId="33" w16cid:durableId="165049994">
    <w:abstractNumId w:val="84"/>
  </w:num>
  <w:num w:numId="34" w16cid:durableId="1389649131">
    <w:abstractNumId w:val="3"/>
  </w:num>
  <w:num w:numId="35" w16cid:durableId="597640900">
    <w:abstractNumId w:val="82"/>
  </w:num>
  <w:num w:numId="36" w16cid:durableId="1410806785">
    <w:abstractNumId w:val="41"/>
  </w:num>
  <w:num w:numId="37" w16cid:durableId="300353565">
    <w:abstractNumId w:val="54"/>
  </w:num>
  <w:num w:numId="38" w16cid:durableId="1035500208">
    <w:abstractNumId w:val="11"/>
  </w:num>
  <w:num w:numId="39" w16cid:durableId="827555821">
    <w:abstractNumId w:val="87"/>
  </w:num>
  <w:num w:numId="40" w16cid:durableId="1397968665">
    <w:abstractNumId w:val="37"/>
  </w:num>
  <w:num w:numId="41" w16cid:durableId="808523324">
    <w:abstractNumId w:val="17"/>
  </w:num>
  <w:num w:numId="42" w16cid:durableId="265164314">
    <w:abstractNumId w:val="33"/>
  </w:num>
  <w:num w:numId="43" w16cid:durableId="502597923">
    <w:abstractNumId w:val="60"/>
  </w:num>
  <w:num w:numId="44" w16cid:durableId="1575355044">
    <w:abstractNumId w:val="52"/>
  </w:num>
  <w:num w:numId="45" w16cid:durableId="252129262">
    <w:abstractNumId w:val="40"/>
  </w:num>
  <w:num w:numId="46" w16cid:durableId="1902980418">
    <w:abstractNumId w:val="26"/>
  </w:num>
  <w:num w:numId="47" w16cid:durableId="667904949">
    <w:abstractNumId w:val="25"/>
  </w:num>
  <w:num w:numId="48" w16cid:durableId="1097016186">
    <w:abstractNumId w:val="4"/>
  </w:num>
  <w:num w:numId="49" w16cid:durableId="833495174">
    <w:abstractNumId w:val="43"/>
  </w:num>
  <w:num w:numId="50" w16cid:durableId="549655846">
    <w:abstractNumId w:val="78"/>
  </w:num>
  <w:num w:numId="51" w16cid:durableId="1907380130">
    <w:abstractNumId w:val="2"/>
  </w:num>
  <w:num w:numId="52" w16cid:durableId="719786211">
    <w:abstractNumId w:val="89"/>
  </w:num>
  <w:num w:numId="53" w16cid:durableId="31850894">
    <w:abstractNumId w:val="24"/>
  </w:num>
  <w:num w:numId="54" w16cid:durableId="176620946">
    <w:abstractNumId w:val="42"/>
  </w:num>
  <w:num w:numId="55" w16cid:durableId="330178040">
    <w:abstractNumId w:val="6"/>
  </w:num>
  <w:num w:numId="56" w16cid:durableId="959145216">
    <w:abstractNumId w:val="63"/>
  </w:num>
  <w:num w:numId="57" w16cid:durableId="522595686">
    <w:abstractNumId w:val="76"/>
  </w:num>
  <w:num w:numId="58" w16cid:durableId="51463753">
    <w:abstractNumId w:val="10"/>
  </w:num>
  <w:num w:numId="59" w16cid:durableId="1329018660">
    <w:abstractNumId w:val="66"/>
  </w:num>
  <w:num w:numId="60" w16cid:durableId="1277714878">
    <w:abstractNumId w:val="39"/>
  </w:num>
  <w:num w:numId="61" w16cid:durableId="367682881">
    <w:abstractNumId w:val="19"/>
  </w:num>
  <w:num w:numId="62" w16cid:durableId="1064109191">
    <w:abstractNumId w:val="61"/>
  </w:num>
  <w:num w:numId="63" w16cid:durableId="261575452">
    <w:abstractNumId w:val="86"/>
  </w:num>
  <w:num w:numId="64" w16cid:durableId="1199976668">
    <w:abstractNumId w:val="35"/>
  </w:num>
  <w:num w:numId="65" w16cid:durableId="1910268587">
    <w:abstractNumId w:val="7"/>
  </w:num>
  <w:num w:numId="66" w16cid:durableId="857082109">
    <w:abstractNumId w:val="29"/>
  </w:num>
  <w:num w:numId="67" w16cid:durableId="344946548">
    <w:abstractNumId w:val="16"/>
  </w:num>
  <w:num w:numId="68" w16cid:durableId="167673065">
    <w:abstractNumId w:val="55"/>
  </w:num>
  <w:num w:numId="69" w16cid:durableId="692223528">
    <w:abstractNumId w:val="72"/>
  </w:num>
  <w:num w:numId="70" w16cid:durableId="2009213926">
    <w:abstractNumId w:val="83"/>
  </w:num>
  <w:num w:numId="71" w16cid:durableId="1665936337">
    <w:abstractNumId w:val="20"/>
  </w:num>
  <w:num w:numId="72" w16cid:durableId="1929146274">
    <w:abstractNumId w:val="38"/>
  </w:num>
  <w:num w:numId="73" w16cid:durableId="679088672">
    <w:abstractNumId w:val="47"/>
  </w:num>
  <w:num w:numId="74" w16cid:durableId="825049141">
    <w:abstractNumId w:val="75"/>
  </w:num>
  <w:num w:numId="75" w16cid:durableId="1612008506">
    <w:abstractNumId w:val="90"/>
  </w:num>
  <w:num w:numId="76" w16cid:durableId="1998800552">
    <w:abstractNumId w:val="71"/>
  </w:num>
  <w:num w:numId="77" w16cid:durableId="564999361">
    <w:abstractNumId w:val="93"/>
  </w:num>
  <w:num w:numId="78" w16cid:durableId="1182351399">
    <w:abstractNumId w:val="56"/>
  </w:num>
  <w:num w:numId="79" w16cid:durableId="1042555855">
    <w:abstractNumId w:val="74"/>
  </w:num>
  <w:num w:numId="80" w16cid:durableId="1301230856">
    <w:abstractNumId w:val="5"/>
  </w:num>
  <w:num w:numId="81" w16cid:durableId="1885676413">
    <w:abstractNumId w:val="67"/>
  </w:num>
  <w:num w:numId="82" w16cid:durableId="1276866164">
    <w:abstractNumId w:val="27"/>
  </w:num>
  <w:num w:numId="83" w16cid:durableId="1320616897">
    <w:abstractNumId w:val="68"/>
  </w:num>
  <w:num w:numId="84" w16cid:durableId="453985069">
    <w:abstractNumId w:val="14"/>
  </w:num>
  <w:num w:numId="85" w16cid:durableId="937980251">
    <w:abstractNumId w:val="88"/>
  </w:num>
  <w:num w:numId="86" w16cid:durableId="243995247">
    <w:abstractNumId w:val="81"/>
  </w:num>
  <w:num w:numId="87" w16cid:durableId="767386239">
    <w:abstractNumId w:val="18"/>
  </w:num>
  <w:num w:numId="88" w16cid:durableId="1878816826">
    <w:abstractNumId w:val="13"/>
  </w:num>
  <w:num w:numId="89" w16cid:durableId="296226184">
    <w:abstractNumId w:val="69"/>
  </w:num>
  <w:num w:numId="90" w16cid:durableId="1743403700">
    <w:abstractNumId w:val="23"/>
  </w:num>
  <w:num w:numId="91" w16cid:durableId="118450147">
    <w:abstractNumId w:val="34"/>
  </w:num>
  <w:num w:numId="92" w16cid:durableId="1480537679">
    <w:abstractNumId w:val="58"/>
  </w:num>
  <w:num w:numId="93" w16cid:durableId="8718828">
    <w:abstractNumId w:val="1"/>
  </w:num>
  <w:num w:numId="94" w16cid:durableId="1263877942">
    <w:abstractNumId w:val="45"/>
  </w:num>
  <w:num w:numId="95" w16cid:durableId="1487088234">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311A7"/>
    <w:rsid w:val="000B093C"/>
    <w:rsid w:val="0016693D"/>
    <w:rsid w:val="001A468E"/>
    <w:rsid w:val="001C647B"/>
    <w:rsid w:val="0033630D"/>
    <w:rsid w:val="004B3E50"/>
    <w:rsid w:val="004D3425"/>
    <w:rsid w:val="005F50E8"/>
    <w:rsid w:val="00631F0E"/>
    <w:rsid w:val="00637BE9"/>
    <w:rsid w:val="00681625"/>
    <w:rsid w:val="006C30CF"/>
    <w:rsid w:val="00732CA2"/>
    <w:rsid w:val="00920D01"/>
    <w:rsid w:val="00971A19"/>
    <w:rsid w:val="009C66E3"/>
    <w:rsid w:val="00B35B1F"/>
    <w:rsid w:val="00CB5CAE"/>
    <w:rsid w:val="00D07722"/>
    <w:rsid w:val="00D235E7"/>
    <w:rsid w:val="00E54CA4"/>
    <w:rsid w:val="00E765DC"/>
    <w:rsid w:val="00ED75E0"/>
    <w:rsid w:val="00EF3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6</Pages>
  <Words>1642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Carlos Serra Martinez</cp:lastModifiedBy>
  <cp:revision>14</cp:revision>
  <dcterms:created xsi:type="dcterms:W3CDTF">2021-08-28T18:44:00Z</dcterms:created>
  <dcterms:modified xsi:type="dcterms:W3CDTF">2024-04-16T07:42:00Z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