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E54A2" w14:textId="77777777" w:rsidR="004618B8" w:rsidRDefault="00000000">
      <w:pPr>
        <w:jc w:val="center"/>
      </w:pPr>
      <w:r>
        <w:rPr>
          <w:b/>
          <w:sz w:val="40"/>
        </w:rPr>
        <w:t>Executive Summary Report – Global Superstore</w:t>
      </w:r>
    </w:p>
    <w:p w14:paraId="51E18572" w14:textId="77777777" w:rsidR="004618B8" w:rsidRDefault="00000000">
      <w:r>
        <w:t>Prepared from the Global Superstore Power BI dashboard.</w:t>
      </w:r>
    </w:p>
    <w:p w14:paraId="53C941E7" w14:textId="77777777" w:rsidR="004618B8" w:rsidRDefault="00000000">
      <w:pPr>
        <w:pStyle w:val="Heading1"/>
      </w:pPr>
      <w:r>
        <w:t>Executive KPI Snapshot</w:t>
      </w:r>
    </w:p>
    <w:tbl>
      <w:tblPr>
        <w:tblStyle w:val="TableGrid"/>
        <w:tblW w:w="8914" w:type="dxa"/>
        <w:tblLook w:val="04A0" w:firstRow="1" w:lastRow="0" w:firstColumn="1" w:lastColumn="0" w:noHBand="0" w:noVBand="1"/>
      </w:tblPr>
      <w:tblGrid>
        <w:gridCol w:w="4457"/>
        <w:gridCol w:w="4457"/>
      </w:tblGrid>
      <w:tr w:rsidR="004618B8" w14:paraId="7D702967" w14:textId="77777777" w:rsidTr="00C230F0">
        <w:trPr>
          <w:trHeight w:val="329"/>
        </w:trPr>
        <w:tc>
          <w:tcPr>
            <w:tcW w:w="4457" w:type="dxa"/>
          </w:tcPr>
          <w:p w14:paraId="6AF20C70" w14:textId="77777777" w:rsidR="004618B8" w:rsidRDefault="00000000">
            <w:r>
              <w:t>KPI</w:t>
            </w:r>
          </w:p>
        </w:tc>
        <w:tc>
          <w:tcPr>
            <w:tcW w:w="4457" w:type="dxa"/>
          </w:tcPr>
          <w:p w14:paraId="62D41680" w14:textId="77777777" w:rsidR="004618B8" w:rsidRDefault="00000000">
            <w:r>
              <w:t>Dashboard Result</w:t>
            </w:r>
          </w:p>
        </w:tc>
      </w:tr>
      <w:tr w:rsidR="004618B8" w14:paraId="238EB1F0" w14:textId="77777777" w:rsidTr="00C230F0">
        <w:trPr>
          <w:trHeight w:val="344"/>
        </w:trPr>
        <w:tc>
          <w:tcPr>
            <w:tcW w:w="4457" w:type="dxa"/>
          </w:tcPr>
          <w:p w14:paraId="52F14CC1" w14:textId="77777777" w:rsidR="004618B8" w:rsidRDefault="00000000">
            <w:r>
              <w:t>Total Sales</w:t>
            </w:r>
          </w:p>
        </w:tc>
        <w:tc>
          <w:tcPr>
            <w:tcW w:w="4457" w:type="dxa"/>
          </w:tcPr>
          <w:p w14:paraId="0E1A572A" w14:textId="77777777" w:rsidR="004618B8" w:rsidRDefault="00000000">
            <w:r>
              <w:t>12.64M</w:t>
            </w:r>
          </w:p>
        </w:tc>
      </w:tr>
      <w:tr w:rsidR="004618B8" w14:paraId="1F4E4DC5" w14:textId="77777777" w:rsidTr="00C230F0">
        <w:trPr>
          <w:trHeight w:val="329"/>
        </w:trPr>
        <w:tc>
          <w:tcPr>
            <w:tcW w:w="4457" w:type="dxa"/>
          </w:tcPr>
          <w:p w14:paraId="344D0933" w14:textId="77777777" w:rsidR="004618B8" w:rsidRDefault="00000000">
            <w:r>
              <w:t>Total Profit</w:t>
            </w:r>
          </w:p>
        </w:tc>
        <w:tc>
          <w:tcPr>
            <w:tcW w:w="4457" w:type="dxa"/>
          </w:tcPr>
          <w:p w14:paraId="0A66A82C" w14:textId="77777777" w:rsidR="004618B8" w:rsidRDefault="00000000">
            <w:r>
              <w:t>1.47M</w:t>
            </w:r>
          </w:p>
        </w:tc>
      </w:tr>
      <w:tr w:rsidR="004618B8" w14:paraId="7B833D7E" w14:textId="77777777" w:rsidTr="00C230F0">
        <w:trPr>
          <w:trHeight w:val="329"/>
        </w:trPr>
        <w:tc>
          <w:tcPr>
            <w:tcW w:w="4457" w:type="dxa"/>
          </w:tcPr>
          <w:p w14:paraId="1A0A315F" w14:textId="77777777" w:rsidR="004618B8" w:rsidRDefault="00000000">
            <w:r>
              <w:t>Total Orders</w:t>
            </w:r>
          </w:p>
        </w:tc>
        <w:tc>
          <w:tcPr>
            <w:tcW w:w="4457" w:type="dxa"/>
          </w:tcPr>
          <w:p w14:paraId="1414C2D6" w14:textId="090EDBD2" w:rsidR="004618B8" w:rsidRDefault="00000000">
            <w:r>
              <w:t>25K</w:t>
            </w:r>
          </w:p>
        </w:tc>
      </w:tr>
      <w:tr w:rsidR="004618B8" w14:paraId="3870E2FA" w14:textId="77777777" w:rsidTr="00C230F0">
        <w:trPr>
          <w:trHeight w:val="344"/>
        </w:trPr>
        <w:tc>
          <w:tcPr>
            <w:tcW w:w="4457" w:type="dxa"/>
          </w:tcPr>
          <w:p w14:paraId="74DAFBFD" w14:textId="77777777" w:rsidR="004618B8" w:rsidRDefault="00000000">
            <w:r>
              <w:t>Average Sales</w:t>
            </w:r>
          </w:p>
        </w:tc>
        <w:tc>
          <w:tcPr>
            <w:tcW w:w="4457" w:type="dxa"/>
          </w:tcPr>
          <w:p w14:paraId="1002046F" w14:textId="77777777" w:rsidR="004618B8" w:rsidRDefault="00000000">
            <w:r>
              <w:t>246.49</w:t>
            </w:r>
          </w:p>
        </w:tc>
      </w:tr>
      <w:tr w:rsidR="004618B8" w14:paraId="522998BC" w14:textId="77777777" w:rsidTr="00C230F0">
        <w:trPr>
          <w:trHeight w:val="329"/>
        </w:trPr>
        <w:tc>
          <w:tcPr>
            <w:tcW w:w="4457" w:type="dxa"/>
          </w:tcPr>
          <w:p w14:paraId="5DC063B1" w14:textId="77777777" w:rsidR="004618B8" w:rsidRDefault="00000000">
            <w:r>
              <w:t>Profit Margin</w:t>
            </w:r>
          </w:p>
        </w:tc>
        <w:tc>
          <w:tcPr>
            <w:tcW w:w="4457" w:type="dxa"/>
          </w:tcPr>
          <w:p w14:paraId="38BD5318" w14:textId="0CA432F9" w:rsidR="004618B8" w:rsidRDefault="00000000">
            <w:r>
              <w:t>12%</w:t>
            </w:r>
          </w:p>
        </w:tc>
      </w:tr>
    </w:tbl>
    <w:p w14:paraId="20D5360C" w14:textId="1BEB4BA2" w:rsidR="004618B8" w:rsidRDefault="004618B8"/>
    <w:p w14:paraId="2E87245B" w14:textId="77777777" w:rsidR="004618B8" w:rsidRDefault="00000000">
      <w:pPr>
        <w:pStyle w:val="Heading1"/>
      </w:pPr>
      <w:r>
        <w:t>Five Key Business Insights</w:t>
      </w:r>
    </w:p>
    <w:p w14:paraId="118A812A" w14:textId="77777777" w:rsidR="004618B8" w:rsidRDefault="00000000">
      <w:pPr>
        <w:pStyle w:val="Heading2"/>
      </w:pPr>
      <w:r>
        <w:t>1. Overall performance</w:t>
      </w:r>
    </w:p>
    <w:p w14:paraId="0989F463" w14:textId="77777777" w:rsidR="004618B8" w:rsidRDefault="00000000">
      <w:r>
        <w:t>The dashboard reports approximately 12.64M in total sales and 1.47M in total profit, producing an overall profit margin of approximately 12.0%. This indicates positive profitability, while also showing that margin management remains important.</w:t>
      </w:r>
    </w:p>
    <w:p w14:paraId="0C71426D" w14:textId="77777777" w:rsidR="004618B8" w:rsidRDefault="00000000">
      <w:pPr>
        <w:pStyle w:val="Heading2"/>
      </w:pPr>
      <w:r>
        <w:t>2. Regional performance</w:t>
      </w:r>
    </w:p>
    <w:p w14:paraId="700DF582" w14:textId="77777777" w:rsidR="004618B8" w:rsidRDefault="00000000">
      <w:r>
        <w:t>Central is the strongest sales region at approximately 2.8M, followed by South at 1.6M and North at 1.2M. This indicates significant variation in regional sales performance.</w:t>
      </w:r>
    </w:p>
    <w:p w14:paraId="629078FB" w14:textId="77777777" w:rsidR="004618B8" w:rsidRDefault="00000000">
      <w:pPr>
        <w:pStyle w:val="Heading2"/>
      </w:pPr>
      <w:r>
        <w:t>3. Customer segments</w:t>
      </w:r>
    </w:p>
    <w:p w14:paraId="5B7E1FA8" w14:textId="77777777" w:rsidR="004618B8" w:rsidRDefault="00000000">
      <w:r>
        <w:t>Consumer customers generate approximately 6.51M, representing 51.48% of sales. Corporate contributes 3.82M (30.25%) and Home Office 2.31M (18.27%).</w:t>
      </w:r>
    </w:p>
    <w:p w14:paraId="10914E25" w14:textId="77777777" w:rsidR="004618B8" w:rsidRDefault="00000000">
      <w:pPr>
        <w:pStyle w:val="Heading2"/>
      </w:pPr>
      <w:r>
        <w:t>4. Category performance</w:t>
      </w:r>
    </w:p>
    <w:p w14:paraId="316F9A50" w14:textId="77777777" w:rsidR="004618B8" w:rsidRDefault="00000000">
      <w:r>
        <w:t>Technology is the leading category by sales at approximately 4.7M, followed by Furniture at 4.1M and Office Supplies at 3.8M.</w:t>
      </w:r>
    </w:p>
    <w:p w14:paraId="217FC3BC" w14:textId="77777777" w:rsidR="004618B8" w:rsidRDefault="00000000">
      <w:pPr>
        <w:pStyle w:val="Heading2"/>
      </w:pPr>
      <w:r>
        <w:t>5. Country performance</w:t>
      </w:r>
    </w:p>
    <w:p w14:paraId="3D84C084" w14:textId="77777777" w:rsidR="004618B8" w:rsidRDefault="00000000">
      <w:r>
        <w:t>The Top 5 Countries by Sales visual identifies the United States at approximately 2.3M as the leading country, followed by Australia and France at approximately 0.9M each, China at 0.7M, and Germany at 0.6M.</w:t>
      </w:r>
    </w:p>
    <w:p w14:paraId="28DA4ACA" w14:textId="77777777" w:rsidR="004618B8" w:rsidRDefault="00000000">
      <w:pPr>
        <w:pStyle w:val="Heading1"/>
      </w:pPr>
      <w:r>
        <w:lastRenderedPageBreak/>
        <w:t>Three Business Risks</w:t>
      </w:r>
    </w:p>
    <w:p w14:paraId="5974021F" w14:textId="77777777" w:rsidR="004618B8" w:rsidRDefault="00000000">
      <w:pPr>
        <w:pStyle w:val="ListBullet"/>
      </w:pPr>
      <w:r>
        <w:t>Profitability risk: the overall profit margin is approximately 12%, so cost, discount, and pricing changes can materially affect profitability.</w:t>
      </w:r>
    </w:p>
    <w:p w14:paraId="528237D3" w14:textId="77777777" w:rsidR="004618B8" w:rsidRDefault="00000000">
      <w:pPr>
        <w:pStyle w:val="ListBullet"/>
      </w:pPr>
      <w:r>
        <w:t>Regional concentration risk: performance is uneven across regions, creating exposure if a major market experiences disruption.</w:t>
      </w:r>
    </w:p>
    <w:p w14:paraId="68A48E50" w14:textId="77777777" w:rsidR="004618B8" w:rsidRDefault="00000000">
      <w:pPr>
        <w:pStyle w:val="ListBullet"/>
      </w:pPr>
      <w:r>
        <w:t>Customer concentration risk: Consumers contribute more than half of sales, so a decline in consumer demand could materially affect revenue.</w:t>
      </w:r>
    </w:p>
    <w:p w14:paraId="0BF48C26" w14:textId="77777777" w:rsidR="004618B8" w:rsidRDefault="00000000">
      <w:pPr>
        <w:pStyle w:val="Heading1"/>
      </w:pPr>
      <w:r>
        <w:t>Three Business Opportunities</w:t>
      </w:r>
    </w:p>
    <w:p w14:paraId="3FB155A9" w14:textId="77777777" w:rsidR="004618B8" w:rsidRDefault="00000000">
      <w:pPr>
        <w:pStyle w:val="ListBullet"/>
      </w:pPr>
      <w:r>
        <w:t>Consumer growth: use loyalty, personalized offers, and cross-selling to deepen the largest customer segment.</w:t>
      </w:r>
    </w:p>
    <w:p w14:paraId="113015A8" w14:textId="77777777" w:rsidR="004618B8" w:rsidRDefault="00000000">
      <w:pPr>
        <w:pStyle w:val="ListBullet"/>
      </w:pPr>
      <w:r>
        <w:t>Regional expansion: identify the practices driving Central's strong performance and adapt them in lower-performing regions.</w:t>
      </w:r>
    </w:p>
    <w:p w14:paraId="7CBB78A9" w14:textId="77777777" w:rsidR="004618B8" w:rsidRDefault="00000000">
      <w:pPr>
        <w:pStyle w:val="ListBullet"/>
      </w:pPr>
      <w:r>
        <w:t>Profitable product growth: prioritize products with strong profit performance for marketing, bundling, and inventory allocation.</w:t>
      </w:r>
    </w:p>
    <w:p w14:paraId="3F10F929" w14:textId="77777777" w:rsidR="004618B8" w:rsidRDefault="00000000">
      <w:pPr>
        <w:pStyle w:val="Heading1"/>
      </w:pPr>
      <w:r>
        <w:t>Management Recommendations</w:t>
      </w:r>
    </w:p>
    <w:p w14:paraId="093366D9" w14:textId="77777777" w:rsidR="004618B8" w:rsidRDefault="00000000">
      <w:pPr>
        <w:pStyle w:val="ListNumber"/>
      </w:pPr>
      <w:r>
        <w:t>Monitor profit margin alongside sales as a core management KPI and establish acceptable margin thresholds.</w:t>
      </w:r>
    </w:p>
    <w:p w14:paraId="13FD5B37" w14:textId="77777777" w:rsidR="004618B8" w:rsidRDefault="00000000">
      <w:pPr>
        <w:pStyle w:val="ListNumber"/>
      </w:pPr>
      <w:r>
        <w:t>Investigate why Central performs strongly and replicate successful commercial practices in weaker regions.</w:t>
      </w:r>
    </w:p>
    <w:p w14:paraId="79A11249" w14:textId="77777777" w:rsidR="004618B8" w:rsidRDefault="00000000">
      <w:pPr>
        <w:pStyle w:val="ListNumber"/>
      </w:pPr>
      <w:r>
        <w:t>Develop a targeted Consumer-segment strategy using loyalty programs, personalized promotions, and cross-selling.</w:t>
      </w:r>
    </w:p>
    <w:p w14:paraId="33477B66" w14:textId="77777777" w:rsidR="004618B8" w:rsidRDefault="00000000">
      <w:pPr>
        <w:pStyle w:val="ListNumber"/>
      </w:pPr>
      <w:r>
        <w:t>Prioritize high-profit products in marketing and inventory planning while reviewing low-profit products and discount levels.</w:t>
      </w:r>
    </w:p>
    <w:p w14:paraId="5855BBB7" w14:textId="77777777" w:rsidR="004618B8" w:rsidRDefault="00000000">
      <w:pPr>
        <w:pStyle w:val="ListNumber"/>
      </w:pPr>
      <w:r>
        <w:t>Review monthly sales and profit trends to improve demand planning, inventory decisions, and promotional timing.</w:t>
      </w:r>
    </w:p>
    <w:p w14:paraId="6C0F3624" w14:textId="77777777" w:rsidR="004618B8" w:rsidRDefault="00000000">
      <w:pPr>
        <w:pStyle w:val="ListNumber"/>
      </w:pPr>
      <w:r>
        <w:t>Use regional, segment, category, and ship-mode filters in management reviews to identify performance changes early.</w:t>
      </w:r>
    </w:p>
    <w:p w14:paraId="1E9CFB0A" w14:textId="77777777" w:rsidR="004618B8" w:rsidRDefault="00000000">
      <w:pPr>
        <w:pStyle w:val="Heading1"/>
      </w:pPr>
      <w:r>
        <w:t>Dashboard Note</w:t>
      </w:r>
    </w:p>
    <w:p w14:paraId="07578122" w14:textId="77777777" w:rsidR="004618B8" w:rsidRDefault="00000000">
      <w:r>
        <w:t>The geographic map was replaced by a Top 5 Country by Sales bar chart because the Power BI map visual was not rendering geographic bubbles despite Country being categorized as Country/Region. The replacement directly supports country-level performance analysis and keeps the dashboard readable.</w:t>
      </w:r>
    </w:p>
    <w:sectPr w:rsidR="004618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5277213">
    <w:abstractNumId w:val="8"/>
  </w:num>
  <w:num w:numId="2" w16cid:durableId="466162911">
    <w:abstractNumId w:val="6"/>
  </w:num>
  <w:num w:numId="3" w16cid:durableId="716927610">
    <w:abstractNumId w:val="5"/>
  </w:num>
  <w:num w:numId="4" w16cid:durableId="948659565">
    <w:abstractNumId w:val="4"/>
  </w:num>
  <w:num w:numId="5" w16cid:durableId="1962418148">
    <w:abstractNumId w:val="7"/>
  </w:num>
  <w:num w:numId="6" w16cid:durableId="713576610">
    <w:abstractNumId w:val="3"/>
  </w:num>
  <w:num w:numId="7" w16cid:durableId="28189741">
    <w:abstractNumId w:val="2"/>
  </w:num>
  <w:num w:numId="8" w16cid:durableId="346489494">
    <w:abstractNumId w:val="1"/>
  </w:num>
  <w:num w:numId="9" w16cid:durableId="10801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BCD"/>
    <w:rsid w:val="004618B8"/>
    <w:rsid w:val="00844F93"/>
    <w:rsid w:val="00AA1D8D"/>
    <w:rsid w:val="00B47730"/>
    <w:rsid w:val="00C230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0F652"/>
  <w14:defaultImageDpi w14:val="300"/>
  <w15:docId w15:val="{39C8DD51-2FF2-4F22-AC45-FE29D37A6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2</Pages>
  <Words>466</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tejumade adeyinka</cp:lastModifiedBy>
  <cp:revision>2</cp:revision>
  <dcterms:created xsi:type="dcterms:W3CDTF">2026-08-15T11:09:00Z</dcterms:created>
  <dcterms:modified xsi:type="dcterms:W3CDTF">2026-08-15T11:09:00Z</dcterms:modified>
  <cp:category/>
</cp:coreProperties>
</file>