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全有或全无随机产出库存问题</w:t>
      </w:r>
    </w:p>
    <w:p>
      <w:pPr>
        <w:pStyle w:val="Subtitle"/>
      </w:pPr>
      <w:r>
        <w:t>Python 实验复现与结果检阅</w:t>
      </w:r>
    </w:p>
    <w:p>
      <w:r>
        <w:t>复现对象  Yan · Chen · Fu · Bi  |  Computers &amp; Operations Research 2026</w:t>
        <w:br/>
        <w:t>计算完成日期  2026 年 10 月 20 日   资料核对日期  2026 年 10 月 20 日</w:t>
      </w:r>
    </w:p>
    <w:p>
      <w:pPr>
        <w:pStyle w:val="Heading1"/>
      </w:pPr>
      <w:r>
        <w:t>主要结论</w:t>
      </w:r>
    </w:p>
    <w:p>
      <w:r>
        <w:t>已完成论文第 5 节的 972 组小规模和 432 组大规模全参数实验，并保存实际训练模型、逐条测试成本及数值动态规划结果。本次独立实现支持学习型订货策略能够改善启发式成本的部分现象，但没有复现原文所报告的小规模近最优精度。应将本报告用于检阅实现与差异，不能据此宣称论文全部数值已被验证。</w:t>
      </w:r>
    </w:p>
    <w:tbl>
      <w:tblPr>
        <w:tblW w:type="auto" w:w="0"/>
        <w:jc w:val="center"/>
        <w:tblLayout w:type="fixed"/>
        <w:tblLook w:firstColumn="1" w:firstRow="1" w:lastColumn="0" w:lastRow="0" w:noHBand="0" w:noVBand="1" w:val="04A0"/>
      </w:tblPr>
      <w:tblGrid>
        <w:gridCol w:w="4824"/>
        <w:gridCol w:w="2160"/>
        <w:gridCol w:w="2592"/>
      </w:tblGrid>
      <w:tr>
        <w:trPr>
          <w:cantSplit/>
          <w:tblHeader/>
        </w:trPr>
        <w:tc>
          <w:tcPr>
            <w:tcW w:type="dxa" w:w="482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指标</w:t>
            </w:r>
          </w:p>
        </w:tc>
        <w:tc>
          <w:tcPr>
            <w:tcW w:type="dxa" w:w="216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w:t>
            </w:r>
          </w:p>
        </w:tc>
        <w:tc>
          <w:tcPr>
            <w:tcW w:type="dxa" w:w="259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本次主实现</w:t>
            </w:r>
          </w:p>
        </w:tc>
      </w:tr>
      <w:tr>
        <w:trPr>
          <w:cantSplit/>
        </w:trPr>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小规模 L = 2 的 DRL 相对 DP</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0.18%</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3.18%</w:t>
            </w:r>
          </w:p>
        </w:tc>
      </w:tr>
      <w:tr>
        <w:trPr>
          <w:cantSplit/>
        </w:trPr>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小规模 L = 3 的 DRL 相对 DP</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0.30%</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3.96%</w:t>
            </w:r>
          </w:p>
        </w:tc>
      </w:tr>
      <w:tr>
        <w:trPr>
          <w:cantSplit/>
        </w:trPr>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大规模 DRL 相对 LIR</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−3.60%</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-1.34%</w:t>
            </w:r>
          </w:p>
        </w:tc>
      </w:tr>
      <w:tr>
        <w:trPr>
          <w:cantSplit/>
        </w:trPr>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大规模 GDSH 相对 LIR</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−3.44%</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-3.65%</w:t>
            </w:r>
          </w:p>
        </w:tc>
      </w:tr>
    </w:tbl>
    <w:p>
      <w:pPr>
        <w:spacing w:line="40" w:lineRule="exact" w:after="80"/>
      </w:pPr>
      <w:r>
        <w:rPr>
          <w:sz w:val="2"/>
        </w:rPr>
      </w:r>
    </w:p>
    <w:p>
      <w:r>
        <w:t>表中成本差为百分比，负数表示成本更低。小规模主表以数值 DP 的期望成本为分母，与原文图 4 的平均成本比定义对齐；另列同一测试样本上的 DP 策略成本，用于检查抽样波动。</w:t>
      </w:r>
    </w:p>
    <w:p>
      <w:r>
        <w:t>大规模 LIR 平均成本为 4093.55，接近原文 4101；GDSH 节约 3.65%，接近原文 3.44%。主实现 DRL 只节约 1.34%，明显低于原文 3.60%。批量损失对照的 DRL 节约 3.67%，接近原文幅度，但这不能证明作者实际使用了该聚合方式。小规模近最优精度在两种实现下均未复现。</w:t>
      </w:r>
    </w:p>
    <w:p>
      <w:r>
        <w:t>全文另执行了 1,404 组损失聚合方式对照、两套各 810 组的权重范围实验、432 组时间输入对照、非平稳需求扩展，以及 12 组优化器检查。正式保存的策略训练结果共 6,279 份；这些额外实验与论文主实现分别报告。</w:t>
      </w:r>
    </w:p>
    <w:p>
      <w:pPr>
        <w:pStyle w:val="Heading1"/>
      </w:pPr>
      <w:r>
        <w:t>检阅重点</w:t>
      </w:r>
    </w:p>
    <w:p>
      <w:r>
        <w:t>请优先查看小规模差距、损失函数聚合方式和实现假设三处。图中空心标记或明确标为 Paper 的曲线来自论文；其余点、柱、曲线和热图均来自本次实际计算。图表沿用原文配色、布局和编号，并提供 PNG 与可编辑 SVG。</w:t>
      </w:r>
    </w:p>
    <w:p>
      <w:pPr>
        <w:pStyle w:val="Heading1"/>
        <w:pageBreakBefore/>
      </w:pPr>
      <w:r>
        <w:t>实验范围和参数设计</w:t>
      </w:r>
    </w:p>
    <w:tbl>
      <w:tblPr>
        <w:tblW w:type="auto" w:w="0"/>
        <w:jc w:val="center"/>
        <w:tblLayout w:type="fixed"/>
        <w:tblLook w:firstColumn="1" w:firstRow="1" w:lastColumn="0" w:lastRow="0" w:noHBand="0" w:noVBand="1" w:val="04A0"/>
      </w:tblPr>
      <w:tblGrid>
        <w:gridCol w:w="1800"/>
        <w:gridCol w:w="4824"/>
        <w:gridCol w:w="2952"/>
      </w:tblGrid>
      <w:tr>
        <w:trPr>
          <w:cantSplit/>
          <w:tblHeader/>
        </w:trPr>
        <w:tc>
          <w:tcPr>
            <w:tcW w:type="dxa" w:w="18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left"/>
            </w:pPr>
            <w:r>
              <w:rPr>
                <w:b/>
                <w:sz w:val="17"/>
              </w:rPr>
              <w:t>项目</w:t>
            </w:r>
          </w:p>
        </w:tc>
        <w:tc>
          <w:tcPr>
            <w:tcW w:type="dxa" w:w="482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本次执行规模</w:t>
            </w:r>
          </w:p>
        </w:tc>
        <w:tc>
          <w:tcPr>
            <w:tcW w:type="dxa" w:w="295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与原文对应</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小规模主实验</w:t>
            </w:r>
          </w:p>
        </w:tc>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972 组，每组 500 训练及 100 测试轨迹</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第 5.2 节及图 4 左图</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大规模主实验</w:t>
            </w:r>
          </w:p>
        </w:tc>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432 组，每组 500 训练及 100 测试轨迹</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第 5.3 节及表 2 和表 3</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数值 DP</w:t>
            </w:r>
          </w:p>
        </w:tc>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972 组完整求解；12 组加密及扩容</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小规模比较基准</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权重范围 δ</w:t>
            </w:r>
          </w:p>
        </w:tc>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5 个取值 × 162 组 × 2 种损失</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图 4 右图及额外对照</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时间输入</w:t>
            </w:r>
          </w:p>
        </w:tc>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全部 432 组 DRL(t)</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附录 C</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非平稳需求</w:t>
            </w:r>
          </w:p>
        </w:tc>
        <w:tc>
          <w:tcPr>
            <w:tcW w:type="dxa" w:w="48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1 个设定；100 及 5,000 测试轨迹</w:t>
            </w:r>
          </w:p>
        </w:tc>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附录 D.2 及额外样本检查</w:t>
            </w:r>
          </w:p>
        </w:tc>
      </w:tr>
    </w:tbl>
    <w:p>
      <w:pPr>
        <w:spacing w:line="40" w:lineRule="exact" w:after="80"/>
      </w:pPr>
      <w:r>
        <w:rPr>
          <w:sz w:val="2"/>
        </w:rPr>
      </w:r>
    </w:p>
    <w:p>
      <w:r>
        <w:t>小规模取 T = 10，折现因子 α = 0.95；L ∈ {2, 3}，p ∈ {0.7, 0.8, 0.9}，单位订货成本 cₒ ∈ {1.5, 2.5, 3.5}，持有成本 h ∈ {0.5, 1, 1.5}，缺货成本 b ∈ {4, 5, 6}，正态需求均值 μ ∈ {6, 8, 10}、标准差 σ ∈ {1, 2}，取笛卡尔积。</w:t>
      </w:r>
    </w:p>
    <w:p>
      <w:r>
        <w:t>大规模取 μ = 10、cₒ = 2、h = 1、α = 0.99；T ∈ {50, 100}，L ∈ {2, 5}，b/(b+h) ∈ {0.85, 0.9, 0.95}，p 从 0.55 至 0.95、间隔 0.05。正态需求 σ ∈ {2, 5}；Gamma 需求尺度为 1.6 或 3.2，形状为 μ/尺度，因此方差为 16 或 32。两类需求的负值均截为零。</w:t>
      </w:r>
    </w:p>
    <w:p>
      <w:r>
        <w:t>每个参数组合独立训练；固定 500 条训练轨迹，并用独立的 100 条轨迹评估全部策略。同一组合内各策略共享需求和产出随机数；不同参数组合使用不同种子。范围对照沿用对应主实验的训练、测试及初始化种子，避免把随机数变化混入 δ 的影响。</w:t>
      </w:r>
    </w:p>
    <w:p>
      <w:r>
        <w:t>本次没有取得作者程序及原始随机种子，因此属于根据正文和附录进行的独立实现。附录 D.1 的批量订货只给出方法讨论，未提供对应数值表；本次不将其计为已执行的数值实验。原文提及的无约束 DRL 运行时间小样本比较也未重跑。</w:t>
      </w:r>
    </w:p>
    <w:p>
      <w:pPr>
        <w:pStyle w:val="Heading1"/>
        <w:pageBreakBefore/>
      </w:pPr>
      <w:r>
        <w:t>库存动态和四种订货策略</w:t>
      </w:r>
    </w:p>
    <w:p>
      <w:r>
        <w:t>每期先接收 L 期前的订单。成功时整批到货并支付采购成本，失败时整批为零且不付采购成本；随后观察收货后库存与在途订单，决定新订单，最后实现当期需求并计算期末持有或缺货成本。缺货按积压处理，不是失销。初始库存和在途订单均为零，最后 L 期不再下单。</w:t>
      </w:r>
    </w:p>
    <w:p>
      <w:r>
        <w:t>记收货后库存为 I(t)，期末库存为 E(t) = I(t) − D(t)，则本期成本为</w:t>
        <w:br/>
        <w:t>c(t) = cₒ Y(t) q(t−L) + h max(E(t), 0) + b max(−E(t), 0)。</w:t>
        <w:br/>
        <w:t>目标为 E[Σ α^(t−1)c(t)]。代码先收货后决策，购买成本按实际收货期折现。</w:t>
      </w:r>
    </w:p>
    <w:p>
      <w:r>
        <w:t>安全库存目标按论文式 3 计算：</w:t>
        <w:br/>
        <w:t>S = (L+1)μ + Φ⁻¹[b/(b+h)] × √{(L+1)σ² + L(1−p)(μ²+σ²)/(2p−1)}。</w:t>
        <w:br/>
        <w:t>本文全部设定满足 p &gt; 0.5。正态需求截零后仍采用论文设定的 μ 和 σ 代入该公式。</w:t>
      </w:r>
    </w:p>
    <w:tbl>
      <w:tblPr>
        <w:tblW w:type="auto" w:w="0"/>
        <w:jc w:val="center"/>
        <w:tblLayout w:type="fixed"/>
        <w:tblLook w:firstColumn="1" w:firstRow="1" w:lastColumn="0" w:lastRow="0" w:noHBand="0" w:noVBand="1" w:val="04A0"/>
      </w:tblPr>
      <w:tblGrid>
        <w:gridCol w:w="1440"/>
        <w:gridCol w:w="8136"/>
      </w:tblGrid>
      <w:tr>
        <w:trPr>
          <w:cantSplit/>
          <w:tblHeader/>
        </w:trPr>
        <w:tc>
          <w:tcPr>
            <w:tcW w:type="dxa" w:w="144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70" w:lineRule="exact"/>
              <w:jc w:val="left"/>
            </w:pPr>
            <w:r>
              <w:rPr>
                <w:b/>
                <w:sz w:val="19"/>
              </w:rPr>
              <w:t>策略</w:t>
            </w:r>
          </w:p>
        </w:tc>
        <w:tc>
          <w:tcPr>
            <w:tcW w:type="dxa" w:w="813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70" w:lineRule="exact"/>
              <w:jc w:val="center"/>
            </w:pPr>
            <w:r>
              <w:rPr>
                <w:b/>
                <w:sz w:val="19"/>
              </w:rPr>
              <w:t>本次实现</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left"/>
            </w:pPr>
            <w:r>
              <w:rPr>
                <w:b w:val="0"/>
                <w:sz w:val="19"/>
              </w:rPr>
              <w:t>LIR</w:t>
            </w:r>
          </w:p>
        </w:tc>
        <w:tc>
          <w:tcPr>
            <w:tcW w:type="dxa" w:w="81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center"/>
            </w:pPr>
            <w:r>
              <w:rPr>
                <w:b w:val="0"/>
                <w:sz w:val="19"/>
              </w:rPr>
              <w:t>q = max(S − I − p ΣQ, 0)，膨胀系数取论文指定的 1。</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left"/>
            </w:pPr>
            <w:r>
              <w:rPr>
                <w:b w:val="0"/>
                <w:sz w:val="19"/>
              </w:rPr>
              <w:t>WNH</w:t>
            </w:r>
          </w:p>
        </w:tc>
        <w:tc>
          <w:tcPr>
            <w:tcW w:type="dxa" w:w="81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center"/>
            </w:pPr>
            <w:r>
              <w:rPr>
                <w:b w:val="0"/>
                <w:sz w:val="19"/>
              </w:rPr>
              <w:t>枚举 2^(L−1) 种在途产出；以各路径 Bernoulli 概率加权其缺口 max(S − I − ΣBQ, 0)。</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left"/>
            </w:pPr>
            <w:r>
              <w:rPr>
                <w:b w:val="0"/>
                <w:sz w:val="19"/>
              </w:rPr>
              <w:t>GDSH</w:t>
            </w:r>
          </w:p>
        </w:tc>
        <w:tc>
          <w:tcPr>
            <w:tcW w:type="dxa" w:w="81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center"/>
            </w:pPr>
            <w:r>
              <w:rPr>
                <w:b w:val="0"/>
                <w:sz w:val="19"/>
              </w:rPr>
              <w:t>保持相同路径缺口结构，学习与状态无关的非负权重；本次不强制权重之和等于 1。</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left"/>
            </w:pPr>
            <w:r>
              <w:rPr>
                <w:b w:val="0"/>
                <w:sz w:val="19"/>
              </w:rPr>
              <w:t>DRL</w:t>
            </w:r>
          </w:p>
        </w:tc>
        <w:tc>
          <w:tcPr>
            <w:tcW w:type="dxa" w:w="81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70" w:lineRule="exact"/>
              <w:jc w:val="center"/>
            </w:pPr>
            <w:r>
              <w:rPr>
                <w:b w:val="0"/>
                <w:sz w:val="19"/>
              </w:rPr>
              <w:t>用库存和在途状态生成路径权重；各权重限制在 WNH 权重 ±δ 内；最终订货量截为非负。</w:t>
            </w:r>
          </w:p>
        </w:tc>
      </w:tr>
    </w:tbl>
    <w:p>
      <w:pPr>
        <w:spacing w:line="40" w:lineRule="exact" w:after="80"/>
      </w:pPr>
      <w:r>
        <w:rPr>
          <w:sz w:val="2"/>
        </w:rPr>
      </w:r>
    </w:p>
    <w:p>
      <w:r>
        <w:t>DRL 网络不直接输出订货量。它对每种产出路径输出两个 logits，逐行作二分类 Softmax，再映射到该路径的权重上下界。不能在所有产出路径之间统一 Softmax，否则会额外引入论文没有规定的权重和约束。</w:t>
      </w:r>
    </w:p>
    <w:p>
      <w:r>
        <w:t>本次以最早到货订单在前存储在途向量。枚举路径与输入向量保持一致，因此不同路径编号约定不会改变 WNH。状态给定时关于路径权重的凸性，并不自动证明闭环轨迹损失关于整张神经网络参数全局凸。</w:t>
      </w:r>
    </w:p>
    <w:p>
      <w:pPr>
        <w:pStyle w:val="Heading1"/>
        <w:pageBreakBefore/>
      </w:pPr>
      <w:r>
        <w:t>训练方法和需要明确的实现假设</w:t>
      </w:r>
    </w:p>
    <w:p>
      <w:r>
        <w:t>DRL 隐藏层为 8、16、16 个单元，使用 ReLU。初始学习率 0.003，每轮乘 0.98，下限 0.0001；Adam 更新 300 轮。L = 2、3 的 δ 为 0.25，L = 5 的 δ 为 0.0884。训练沿完整库存轨迹反向传播，保存第 300 轮更新后的参数，不按测试成本挑选模型。</w:t>
      </w:r>
    </w:p>
    <w:p>
      <w:r>
        <w:t>主实现逐轨迹计算 ℓᵢ = exp[100(Cᵢ − Cᵢ,WNH)/Cᵢ,WNH]，再对 500 条轨迹求平均。这是对正文 episode 损失的一种直接解释。该目标会对相对教师表现差的轨迹施加很高权重，与仅最小化平均成本不等价。</w:t>
      </w:r>
    </w:p>
    <w:p>
      <w:r>
        <w:t>额外对照先计算平均成本，再取指数：exp[100(mean C − mean C_WNH)/mean C_WNH]。它是平均成本的单调变换，但梯度尺度仍随训练改变。报告中以 DRL batch 或批量损失对照标识，不能拿它替换主实现后声称完全遵循原文。</w:t>
      </w:r>
    </w:p>
    <w:tbl>
      <w:tblPr>
        <w:tblW w:type="auto" w:w="0"/>
        <w:jc w:val="center"/>
        <w:tblLayout w:type="fixed"/>
        <w:tblLook w:firstColumn="1" w:firstRow="1" w:lastColumn="0" w:lastRow="0" w:noHBand="0" w:noVBand="1" w:val="04A0"/>
      </w:tblPr>
      <w:tblGrid>
        <w:gridCol w:w="2376"/>
        <w:gridCol w:w="7200"/>
      </w:tblGrid>
      <w:tr>
        <w:trPr>
          <w:cantSplit/>
          <w:tblHeader/>
        </w:trPr>
        <w:tc>
          <w:tcPr>
            <w:tcW w:type="dxa" w:w="23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原文未充分说明之处</w:t>
            </w:r>
          </w:p>
        </w:tc>
        <w:tc>
          <w:tcPr>
            <w:tcW w:type="dxa" w:w="72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本次固定约定</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输入维度</w:t>
            </w:r>
          </w:p>
        </w:tc>
        <w:tc>
          <w:tcPr>
            <w:tcW w:type="dxa" w:w="72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正文取 S、I 和 L−1 个在途量，共 L+1；附录 A 写为 L。本次按正文。</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输入缩放及初始化</w:t>
            </w:r>
          </w:p>
        </w:tc>
        <w:tc>
          <w:tcPr>
            <w:tcW w:type="dxa" w:w="72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输入除以 S；末层 logits 置零，使初始 DRL 恰等于 WNH。</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训练样本更新</w:t>
            </w:r>
          </w:p>
        </w:tc>
        <w:tc>
          <w:tcPr>
            <w:tcW w:type="dxa" w:w="72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500 条轨迹固定使用 300 轮；测试样本不参与梯度和模型挑选。</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权重非负性</w:t>
            </w:r>
          </w:p>
        </w:tc>
        <w:tc>
          <w:tcPr>
            <w:tcW w:type="dxa" w:w="72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DRL 保留原文允许穿过零的权重区间，只在最终动作处取非负。</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GDSH 优化细节</w:t>
            </w:r>
          </w:p>
        </w:tc>
        <w:tc>
          <w:tcPr>
            <w:tcW w:type="dxa" w:w="72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非负权重，无和为 1 约束；采用与 DRL 相同的 Adam 学习率和轮数。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非平稳安全库存</w:t>
            </w:r>
          </w:p>
        </w:tc>
        <w:tc>
          <w:tcPr>
            <w:tcW w:type="dxa" w:w="72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将当期需求均值和方差代入式 3，作为明确的实现约定。</w:t>
            </w:r>
          </w:p>
        </w:tc>
      </w:tr>
    </w:tbl>
    <w:p>
      <w:pPr>
        <w:spacing w:line="40" w:lineRule="exact" w:after="80"/>
      </w:pPr>
      <w:r>
        <w:rPr>
          <w:sz w:val="2"/>
        </w:rPr>
      </w:r>
    </w:p>
    <w:p>
      <w:r>
        <w:t>这些约定使实验可运行且可复查，但会影响有限轮数的优化结果。因此数值不一致不能直接归因于论文结论错误；也不能在没有作者代码的情况下认定只有某一个约定导致差距。本次没有为贴近论文结果选择随机种子或按测试表现调参。</w:t>
      </w:r>
    </w:p>
    <w:p>
      <w:pPr>
        <w:pStyle w:val="Heading1"/>
        <w:pageBreakBefore/>
      </w:pPr>
      <w:r>
        <w:t>小规模实验与原文图 4 对照</w:t>
      </w:r>
    </w:p>
    <w:p>
      <w:pPr>
        <w:keepNext/>
        <w:spacing w:after="40"/>
        <w:jc w:val="center"/>
      </w:pPr>
      <w:r>
        <w:drawing>
          <wp:inline xmlns:a="http://schemas.openxmlformats.org/drawingml/2006/main" xmlns:pic="http://schemas.openxmlformats.org/drawingml/2006/picture">
            <wp:extent cx="5577840" cy="3180937"/>
            <wp:docPr id="1" name="Picture 1"/>
            <wp:cNvGraphicFramePr>
              <a:graphicFrameLocks noChangeAspect="1"/>
            </wp:cNvGraphicFramePr>
            <a:graphic>
              <a:graphicData uri="http://schemas.openxmlformats.org/drawingml/2006/picture">
                <pic:pic>
                  <pic:nvPicPr>
                    <pic:cNvPr id="0" name="figure04a.png"/>
                    <pic:cNvPicPr/>
                  </pic:nvPicPr>
                  <pic:blipFill>
                    <a:blip r:embed="rId10"/>
                    <a:stretch>
                      <a:fillRect/>
                    </a:stretch>
                  </pic:blipFill>
                  <pic:spPr>
                    <a:xfrm>
                      <a:off x="0" y="0"/>
                      <a:ext cx="5577840" cy="3180937"/>
                    </a:xfrm>
                    <a:prstGeom prst="rect"/>
                  </pic:spPr>
                </pic:pic>
              </a:graphicData>
            </a:graphic>
          </wp:inline>
        </w:drawing>
      </w:r>
    </w:p>
    <w:p>
      <w:pPr>
        <w:pStyle w:val="Caption"/>
      </w:pPr>
      <w:r>
        <w:t>图 4(a)  每种提前期各 486 组。柱为本次实测平均成本相对数值 DP 的差距；空心菱形为原文数值。误差线为条件于固定参数网格和已训练模型的 95% 区间。</w:t>
      </w:r>
    </w:p>
    <w:tbl>
      <w:tblPr>
        <w:tblW w:type="auto" w:w="0"/>
        <w:jc w:val="center"/>
        <w:tblLayout w:type="fixed"/>
        <w:tblLook w:firstColumn="1" w:firstRow="1" w:lastColumn="0" w:lastRow="0" w:noHBand="0" w:noVBand="1" w:val="04A0"/>
      </w:tblPr>
      <w:tblGrid>
        <w:gridCol w:w="2952"/>
        <w:gridCol w:w="1656"/>
        <w:gridCol w:w="1656"/>
        <w:gridCol w:w="1656"/>
        <w:gridCol w:w="1656"/>
      </w:tblGrid>
      <w:tr>
        <w:trPr>
          <w:cantSplit/>
          <w:tblHeader/>
        </w:trPr>
        <w:tc>
          <w:tcPr>
            <w:tcW w:type="dxa" w:w="295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策略</w:t>
            </w:r>
          </w:p>
        </w:tc>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L2 本次</w:t>
            </w:r>
          </w:p>
        </w:tc>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L2 原文</w:t>
            </w:r>
          </w:p>
        </w:tc>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L3 本次</w:t>
            </w:r>
          </w:p>
        </w:tc>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L3 原文</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LIR</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3.54%</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3.15%</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4.22%</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3.19%</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WNH</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3.48%</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3.12%</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4.34%</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3.38%</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GDSH</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2.54%</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0.68%</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2.42%</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0.39%</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DRL</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3.18%</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0.18%</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3.96%</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0.30%</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DRL 批量对照</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2.23%</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2.12%</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w:t>
            </w:r>
          </w:p>
        </w:tc>
      </w:tr>
    </w:tbl>
    <w:p>
      <w:pPr>
        <w:spacing w:line="40" w:lineRule="exact" w:after="80"/>
      </w:pPr>
      <w:r>
        <w:rPr>
          <w:sz w:val="2"/>
        </w:rPr>
      </w:r>
    </w:p>
    <w:p>
      <w:r>
        <w:t>主实现的 DRL 与 GDSH 未达到原文约 0.2% 至 0.7% 的近最优水平。改变损失聚合方式后得到不同成本，说明训练目标的实现细节具有实质影响。但这只是受控对照，不能证明批量损失就是作者实际使用的方法。</w:t>
      </w:r>
    </w:p>
    <w:p>
      <w:r>
        <w:t>这里使用各组合平均成本再求比值，未把每个组合的相对差距直接平均；两种统计口径不同，本报告主表采用原文所述的平均成本比。</w:t>
      </w:r>
    </w:p>
    <w:p>
      <w:pPr>
        <w:pStyle w:val="Heading1"/>
        <w:pageBreakBefore/>
      </w:pPr>
      <w:r>
        <w:t>动态规划基准和数值误差检查</w:t>
      </w:r>
    </w:p>
    <w:p>
      <w:r>
        <w:t>本次实现独立的有限期 Bellman 递推。需求用正态分布 CDF 的区间概率离散化，默认库存、动作和需求网格间距为 1；尾部概率合并到端点，不丢弃概率质量。订单上限至少为 2S 或 4μ 中的较大值，库存界限覆盖设定范围，界外作线性延拓。</w:t>
      </w:r>
    </w:p>
    <w:p>
      <w:r>
        <w:t>求期望时，将成功到货的采购支出按 α^L p cₒ q 转移到下单时刻。这与按到货期支付在期望上等价，测试评估仍按实际到货计费。动作搜索前逐行检查离散凸性；不满足时回退到穷举，避免依赖未经检查的单峰假设。</w:t>
      </w:r>
    </w:p>
    <w:tbl>
      <w:tblPr>
        <w:tblW w:type="auto" w:w="0"/>
        <w:jc w:val="center"/>
        <w:tblLayout w:type="fixed"/>
        <w:tblLook w:firstColumn="1" w:firstRow="1" w:lastColumn="0" w:lastRow="0" w:noHBand="0" w:noVBand="1" w:val="04A0"/>
      </w:tblPr>
      <w:tblGrid>
        <w:gridCol w:w="4608"/>
        <w:gridCol w:w="4968"/>
      </w:tblGrid>
      <w:tr>
        <w:trPr>
          <w:cantSplit/>
          <w:tblHeader/>
        </w:trPr>
        <w:tc>
          <w:tcPr>
            <w:tcW w:type="dxa" w:w="460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检查项目</w:t>
            </w:r>
          </w:p>
        </w:tc>
        <w:tc>
          <w:tcPr>
            <w:tcW w:type="dxa" w:w="496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实际结果</w:t>
            </w:r>
          </w:p>
        </w:tc>
      </w:tr>
      <w:tr>
        <w:trPr>
          <w:cantSplit/>
        </w:trPr>
        <w:tc>
          <w:tcPr>
            <w:tcW w:type="dxa" w:w="46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主网格求解</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972 / 972 组完成</w:t>
            </w:r>
          </w:p>
        </w:tc>
      </w:tr>
      <w:tr>
        <w:trPr>
          <w:cantSplit/>
        </w:trPr>
        <w:tc>
          <w:tcPr>
            <w:tcW w:type="dxa" w:w="46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步长由 1 减为 0.5</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12 组；期望成本最大相对变化 0.03345%</w:t>
            </w:r>
          </w:p>
        </w:tc>
      </w:tr>
      <w:tr>
        <w:trPr>
          <w:cantSplit/>
        </w:trPr>
        <w:tc>
          <w:tcPr>
            <w:tcW w:type="dxa" w:w="46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订单上限由 2S 增至 3S</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12 组；最大相对变化 0.0000002%</w:t>
            </w:r>
          </w:p>
        </w:tc>
      </w:tr>
      <w:tr>
        <w:trPr>
          <w:cantSplit/>
        </w:trPr>
        <w:tc>
          <w:tcPr>
            <w:tcW w:type="dxa" w:w="46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100 条测试轨迹中的库存越界</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w:t>
            </w:r>
          </w:p>
        </w:tc>
      </w:tr>
      <w:tr>
        <w:trPr>
          <w:cantSplit/>
        </w:trPr>
        <w:tc>
          <w:tcPr>
            <w:tcW w:type="dxa" w:w="46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测试策略订货触及上限</w:t>
            </w:r>
          </w:p>
        </w:tc>
        <w:tc>
          <w:tcPr>
            <w:tcW w:type="dxa" w:w="49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w:t>
            </w:r>
          </w:p>
        </w:tc>
      </w:tr>
    </w:tbl>
    <w:p>
      <w:pPr>
        <w:spacing w:line="40" w:lineRule="exact" w:after="80"/>
      </w:pPr>
      <w:r>
        <w:rPr>
          <w:sz w:val="2"/>
        </w:rPr>
      </w:r>
    </w:p>
    <w:tbl>
      <w:tblPr>
        <w:tblW w:type="auto" w:w="0"/>
        <w:jc w:val="center"/>
        <w:tblLayout w:type="fixed"/>
        <w:tblLook w:firstColumn="1" w:firstRow="1" w:lastColumn="0" w:lastRow="0" w:noHBand="0" w:noVBand="1" w:val="04A0"/>
      </w:tblPr>
      <w:tblGrid>
        <w:gridCol w:w="648"/>
        <w:gridCol w:w="864"/>
        <w:gridCol w:w="720"/>
        <w:gridCol w:w="2376"/>
        <w:gridCol w:w="2376"/>
        <w:gridCol w:w="2592"/>
      </w:tblGrid>
      <w:tr>
        <w:trPr>
          <w:cantSplit/>
          <w:tblHeader/>
        </w:trPr>
        <w:tc>
          <w:tcPr>
            <w:tcW w:type="dxa" w:w="64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left"/>
            </w:pPr>
            <w:r>
              <w:rPr>
                <w:b/>
                <w:sz w:val="17"/>
              </w:rPr>
              <w:t>L</w:t>
            </w:r>
          </w:p>
        </w:tc>
        <w:tc>
          <w:tcPr>
            <w:tcW w:type="dxa" w:w="86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p</w:t>
            </w:r>
          </w:p>
        </w:tc>
        <w:tc>
          <w:tcPr>
            <w:tcW w:type="dxa" w:w="7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σ</w:t>
            </w:r>
          </w:p>
        </w:tc>
        <w:tc>
          <w:tcPr>
            <w:tcW w:type="dxa" w:w="23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步长 1 成本</w:t>
            </w:r>
          </w:p>
        </w:tc>
        <w:tc>
          <w:tcPr>
            <w:tcW w:type="dxa" w:w="23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步长 0.5 成本</w:t>
            </w:r>
          </w:p>
        </w:tc>
        <w:tc>
          <w:tcPr>
            <w:tcW w:type="dxa" w:w="259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0" w:lineRule="exact"/>
              <w:jc w:val="center"/>
            </w:pPr>
            <w:r>
              <w:rPr>
                <w:b/>
                <w:sz w:val="17"/>
              </w:rPr>
              <w:t>变化百分比</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425.340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425.211</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-0.0304%</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431.529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431.440</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-0.0207%</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382.459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382.346</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-0.0294%</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389.529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389.435</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-0.0242%</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339.352</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339.274</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-0.0229%</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348.354</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348.238</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-0.0335%</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571.190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571.031</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-0.0279%</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577.597</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577.495</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-0.0176%</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516.368</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516.229</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-0.0270%</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524.149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524.038</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-0.0211%</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461.135</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461.004</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-0.0285%</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470.029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469.906</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0" w:lineRule="exact"/>
              <w:jc w:val="center"/>
            </w:pPr>
            <w:r>
              <w:rPr>
                <w:b w:val="0"/>
                <w:sz w:val="17"/>
              </w:rPr>
              <w:t>-0.0263%</w:t>
            </w:r>
          </w:p>
        </w:tc>
      </w:tr>
    </w:tbl>
    <w:p>
      <w:pPr>
        <w:spacing w:line="40" w:lineRule="exact" w:after="80"/>
      </w:pPr>
      <w:r>
        <w:rPr>
          <w:sz w:val="2"/>
        </w:rPr>
      </w:r>
    </w:p>
    <w:p>
      <w:r>
        <w:t>加密案例按 L、p 和 σ 分层事先选取，其余参数取中间水平。数值误差检查只覆盖这些代表性设定，不是对全部连续状态问题的严格误差界。本报告称其为数值 DP 基准，不将离散网格值冒充已证明精确的连续全局最优值。</w:t>
      </w:r>
    </w:p>
    <w:p>
      <w:pPr>
        <w:pStyle w:val="Heading1"/>
        <w:pageBreakBefore/>
      </w:pPr>
      <w:r>
        <w:t>GDSH 优化器的补充检查</w:t>
      </w:r>
    </w:p>
    <w:p>
      <w:r>
        <w:t>为检查 300 轮 Adam 是否明显限制了 GDSH，再对相同的 12 个预先分层案例运行非负约束 L-BFGS-B。它从 WNH 权重出发，优化同一批 500 条训练轨迹的平均成本，最多 500 次迭代，使用双精度轨迹梯度。该实验与主表分开保存，没有按测试结果替换主模型。</w:t>
      </w:r>
    </w:p>
    <w:tbl>
      <w:tblPr>
        <w:tblW w:type="auto" w:w="0"/>
        <w:jc w:val="center"/>
        <w:tblLayout w:type="fixed"/>
        <w:tblLook w:firstColumn="1" w:firstRow="1" w:lastColumn="0" w:lastRow="0" w:noHBand="0" w:noVBand="1" w:val="04A0"/>
      </w:tblPr>
      <w:tblGrid>
        <w:gridCol w:w="648"/>
        <w:gridCol w:w="864"/>
        <w:gridCol w:w="720"/>
        <w:gridCol w:w="2376"/>
        <w:gridCol w:w="2376"/>
        <w:gridCol w:w="2592"/>
      </w:tblGrid>
      <w:tr>
        <w:trPr>
          <w:cantSplit/>
          <w:tblHeader/>
        </w:trPr>
        <w:tc>
          <w:tcPr>
            <w:tcW w:type="dxa" w:w="64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left"/>
            </w:pPr>
            <w:r>
              <w:rPr>
                <w:b/>
                <w:sz w:val="17"/>
              </w:rPr>
              <w:t>L</w:t>
            </w:r>
          </w:p>
        </w:tc>
        <w:tc>
          <w:tcPr>
            <w:tcW w:type="dxa" w:w="86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p</w:t>
            </w:r>
          </w:p>
        </w:tc>
        <w:tc>
          <w:tcPr>
            <w:tcW w:type="dxa" w:w="7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σ</w:t>
            </w:r>
          </w:p>
        </w:tc>
        <w:tc>
          <w:tcPr>
            <w:tcW w:type="dxa" w:w="23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Adam 成本</w:t>
            </w:r>
          </w:p>
        </w:tc>
        <w:tc>
          <w:tcPr>
            <w:tcW w:type="dxa" w:w="23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L-BFGS-B 成本</w:t>
            </w:r>
          </w:p>
        </w:tc>
        <w:tc>
          <w:tcPr>
            <w:tcW w:type="dxa" w:w="259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DP 期望值</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441.53</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441.08</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425.34</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443.60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443.40</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431.53</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390.48</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391.74</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382.46</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397.97</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398.08</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389.53</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344.15</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344.02</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339.35</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2</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354.19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354.05</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348.35</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584.49</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581.26</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571.19</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0.7</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592.34</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589.99</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577.60</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523.02</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523.10</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516.37</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0.8</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537.47</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537.99</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524.15</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462.44</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462.06</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461.14</w:t>
            </w:r>
          </w:p>
        </w:tc>
      </w:tr>
      <w:tr>
        <w:trPr>
          <w:cantSplit/>
        </w:trPr>
        <w:tc>
          <w:tcPr>
            <w:tcW w:type="dxa" w:w="6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3</w:t>
            </w:r>
          </w:p>
        </w:tc>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0.9</w:t>
            </w:r>
          </w:p>
        </w:tc>
        <w:tc>
          <w:tcPr>
            <w:tcW w:type="dxa" w:w="7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475.33</w:t>
            </w:r>
          </w:p>
        </w:tc>
        <w:tc>
          <w:tcPr>
            <w:tcW w:type="dxa" w:w="23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475.06</w:t>
            </w:r>
          </w:p>
        </w:tc>
        <w:tc>
          <w:tcPr>
            <w:tcW w:type="dxa" w:w="25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470.03</w:t>
            </w:r>
          </w:p>
        </w:tc>
      </w:tr>
    </w:tbl>
    <w:p>
      <w:pPr>
        <w:spacing w:line="40" w:lineRule="exact" w:after="80"/>
      </w:pPr>
      <w:r>
        <w:rPr>
          <w:sz w:val="2"/>
        </w:rPr>
      </w:r>
    </w:p>
    <w:p>
      <w:pPr>
        <w:pStyle w:val="Caption"/>
      </w:pPr>
      <w:r>
        <w:t>表中两种优化器均在同一批新生成的 5,000 条测试轨迹上评估；这些轨迹不用于训练或停止判断。DP 列仍是步长 1 的期望成本，因此策略成本与其之间还含有限测试误差。</w:t>
      </w:r>
    </w:p>
    <w:p>
      <w:r>
        <w:t>L = 2 的这 6 个代表性案例，Adam 和 L-BFGS-B 相对 DP 的平均成本差分别为 2.39% 与 2.41%。这些值来自子集及额外测试样本，不能直接等同于 486 组主表的统计。</w:t>
      </w:r>
    </w:p>
    <w:p>
      <w:r>
        <w:t>L = 3 的这 6 个代表性案例，Adam 和 L-BFGS-B 相对 DP 的平均成本差分别为 1.75% 与 1.57%。这些值来自子集及额外测试样本，不能直接等同于 486 组主表的统计。</w:t>
      </w:r>
    </w:p>
    <w:p>
      <w:r>
        <w:t>12 / 12 次优化满足求解器的停止条件。更低的训练目标并不保证每个案例的测试成本更低；L-BFGS-B 的停止也不是全局最优认证。这一补充检查没有消除与原文全部数量结果之间的差距，说明不能仅凭“换优化器”作出归因。</w:t>
      </w:r>
    </w:p>
    <w:p>
      <w:pPr>
        <w:pStyle w:val="Heading1"/>
        <w:pageBreakBefore/>
      </w:pPr>
      <w:r>
        <w:t>权重范围实验和样本配对</w:t>
      </w:r>
    </w:p>
    <w:p>
      <w:pPr>
        <w:keepNext/>
        <w:spacing w:after="40"/>
        <w:jc w:val="center"/>
      </w:pPr>
      <w:r>
        <w:drawing>
          <wp:inline xmlns:a="http://schemas.openxmlformats.org/drawingml/2006/main" xmlns:pic="http://schemas.openxmlformats.org/drawingml/2006/picture">
            <wp:extent cx="5532120" cy="3154864"/>
            <wp:docPr id="2" name="Picture 2"/>
            <wp:cNvGraphicFramePr>
              <a:graphicFrameLocks noChangeAspect="1"/>
            </wp:cNvGraphicFramePr>
            <a:graphic>
              <a:graphicData uri="http://schemas.openxmlformats.org/drawingml/2006/picture">
                <pic:pic>
                  <pic:nvPicPr>
                    <pic:cNvPr id="0" name="figure04b.png"/>
                    <pic:cNvPicPr/>
                  </pic:nvPicPr>
                  <pic:blipFill>
                    <a:blip r:embed="rId11"/>
                    <a:stretch>
                      <a:fillRect/>
                    </a:stretch>
                  </pic:blipFill>
                  <pic:spPr>
                    <a:xfrm>
                      <a:off x="0" y="0"/>
                      <a:ext cx="5532120" cy="3154864"/>
                    </a:xfrm>
                    <a:prstGeom prst="rect"/>
                  </pic:spPr>
                </pic:pic>
              </a:graphicData>
            </a:graphic>
          </wp:inline>
        </w:drawing>
      </w:r>
    </w:p>
    <w:p>
      <w:pPr>
        <w:pStyle w:val="Caption"/>
      </w:pPr>
      <w:r>
        <w:t>图 4(b)  L = 2、p = 0.7，162 个参数组合；各 δ 共用训练及测试随机数。误差线仅反映测试样本不确定性，黑色点线为论文报告值。</w:t>
      </w:r>
    </w:p>
    <w:tbl>
      <w:tblPr>
        <w:tblW w:type="auto" w:w="0"/>
        <w:jc w:val="center"/>
        <w:tblLayout w:type="fixed"/>
        <w:tblLook w:firstColumn="1" w:firstRow="1" w:lastColumn="0" w:lastRow="0" w:noHBand="0" w:noVBand="1" w:val="04A0"/>
      </w:tblPr>
      <w:tblGrid>
        <w:gridCol w:w="864"/>
        <w:gridCol w:w="2448"/>
        <w:gridCol w:w="3024"/>
        <w:gridCol w:w="3240"/>
      </w:tblGrid>
      <w:tr>
        <w:trPr>
          <w:cantSplit/>
          <w:tblHeader/>
        </w:trPr>
        <w:tc>
          <w:tcPr>
            <w:tcW w:type="dxa" w:w="86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δ</w:t>
            </w:r>
          </w:p>
        </w:tc>
        <w:tc>
          <w:tcPr>
            <w:tcW w:type="dxa" w:w="244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 DRL</w:t>
            </w:r>
          </w:p>
        </w:tc>
        <w:tc>
          <w:tcPr>
            <w:tcW w:type="dxa" w:w="302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 DRL</w:t>
            </w:r>
          </w:p>
        </w:tc>
        <w:tc>
          <w:tcPr>
            <w:tcW w:type="dxa" w:w="324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批量损失对照</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0.05</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2.79%</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4.45%</w:t>
            </w:r>
          </w:p>
        </w:tc>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3.80%</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0.25</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0.14%</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4.31%</w:t>
            </w:r>
          </w:p>
        </w:tc>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3.13%</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0.45</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1.06%</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4.26%</w:t>
            </w:r>
          </w:p>
        </w:tc>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2.92%</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0.65</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1.46%</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4.23%</w:t>
            </w:r>
          </w:p>
        </w:tc>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2.80%</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1.0</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1.39%</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4.21%</w:t>
            </w:r>
          </w:p>
        </w:tc>
        <w:tc>
          <w:tcPr>
            <w:tcW w:type="dxa" w:w="32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2.67%</w:t>
            </w:r>
          </w:p>
        </w:tc>
      </w:tr>
    </w:tbl>
    <w:p>
      <w:pPr>
        <w:spacing w:line="40" w:lineRule="exact" w:after="80"/>
      </w:pPr>
      <w:r>
        <w:rPr>
          <w:sz w:val="2"/>
        </w:rPr>
      </w:r>
    </w:p>
    <w:p>
      <w:r>
        <w:t>δ = 0.25 时，本次主实现相对 DP 为 4.31%，批量损失对照为 3.13%，原文为 0.14%。本次曲线没有支持原文在 δ = 0.25 附近取得明显最低成本的形状；不应只比较趋势后将该超参数结论标为已复现。</w:t>
      </w:r>
    </w:p>
    <w:p>
      <w:r>
        <w:t>增大 δ 扩大权重可搜索范围，但不保证固定优化器和 300 轮训练能找到更好的解。还会改变负权重出现的可能性及最终动作截零处的梯度。因此这里考察的是完整训练流程对 δ 的敏感性，不是对各权重范围的理论最优值进行比较。</w:t>
      </w:r>
    </w:p>
    <w:p>
      <w:r>
        <w:t>原文将 δ = 1 描述为约束不再起作用；按式 9 的数学实现，各权重此时仍处于有限区间。本次保留该区间定义，没有把 δ = 1 改成无界网络。图中没有人为平滑或重排点来匹配论文形状。</w:t>
      </w:r>
    </w:p>
    <w:p>
      <w:pPr>
        <w:pStyle w:val="Heading1"/>
        <w:pageBreakBefore/>
      </w:pPr>
      <w:r>
        <w:t>大规模成本和逐例表现</w:t>
      </w:r>
    </w:p>
    <w:tbl>
      <w:tblPr>
        <w:tblW w:type="auto" w:w="0"/>
        <w:jc w:val="center"/>
        <w:tblLayout w:type="fixed"/>
        <w:tblLook w:firstColumn="1" w:firstRow="1" w:lastColumn="0" w:lastRow="0" w:noHBand="0" w:noVBand="1" w:val="04A0"/>
      </w:tblPr>
      <w:tblGrid>
        <w:gridCol w:w="1800"/>
        <w:gridCol w:w="1656"/>
        <w:gridCol w:w="3096"/>
        <w:gridCol w:w="3024"/>
      </w:tblGrid>
      <w:tr>
        <w:trPr>
          <w:cantSplit/>
          <w:tblHeader/>
        </w:trPr>
        <w:tc>
          <w:tcPr>
            <w:tcW w:type="dxa" w:w="18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left"/>
            </w:pPr>
            <w:r>
              <w:rPr>
                <w:b/>
                <w:sz w:val="17"/>
              </w:rPr>
              <w:t>策略</w:t>
            </w:r>
          </w:p>
        </w:tc>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原文成本</w:t>
            </w:r>
          </w:p>
        </w:tc>
        <w:tc>
          <w:tcPr>
            <w:tcW w:type="dxa" w:w="309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本次成本</w:t>
            </w:r>
          </w:p>
        </w:tc>
        <w:tc>
          <w:tcPr>
            <w:tcW w:type="dxa" w:w="302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本次相对 LIR</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LIR</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4101</w:t>
            </w:r>
          </w:p>
        </w:tc>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4093.55 ± 12.25</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0.00 ± 0.00%</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WNH</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4076</w:t>
            </w:r>
          </w:p>
        </w:tc>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4066.49 ± 10.77</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-0.66 ± 0.07%</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DRL</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3953</w:t>
            </w:r>
          </w:p>
        </w:tc>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4038.71 ± 10.70</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-1.34 ± 0.07%</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GDSH</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3960</w:t>
            </w:r>
          </w:p>
        </w:tc>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3944.25 ± 10.62</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-3.65 ± 0.13%</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DRL_batch</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w:t>
            </w:r>
          </w:p>
        </w:tc>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3943.38 ± 10.25</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-3.67 ± 0.12%</w:t>
            </w:r>
          </w:p>
        </w:tc>
      </w:tr>
    </w:tbl>
    <w:p>
      <w:pPr>
        <w:spacing w:line="40" w:lineRule="exact" w:after="80"/>
      </w:pPr>
      <w:r>
        <w:rPr>
          <w:sz w:val="2"/>
        </w:rPr>
      </w:r>
    </w:p>
    <w:p>
      <w:pPr>
        <w:pStyle w:val="Caption"/>
      </w:pPr>
      <w:r>
        <w:t>表 2  432 组平均成本。± 为 95% 区间半宽；成本差先对所有组合的成本求平均再取比。区间条件于这批固定训练结果，不包含重新抽取训练样本和初始化的全部不确定性。</w:t>
      </w:r>
    </w:p>
    <w:p>
      <w:pPr>
        <w:keepNext/>
        <w:spacing w:after="40"/>
        <w:jc w:val="center"/>
      </w:pPr>
      <w:r>
        <w:drawing>
          <wp:inline xmlns:a="http://schemas.openxmlformats.org/drawingml/2006/main" xmlns:pic="http://schemas.openxmlformats.org/drawingml/2006/picture">
            <wp:extent cx="5715000" cy="2602122"/>
            <wp:docPr id="3" name="Picture 3"/>
            <wp:cNvGraphicFramePr>
              <a:graphicFrameLocks noChangeAspect="1"/>
            </wp:cNvGraphicFramePr>
            <a:graphic>
              <a:graphicData uri="http://schemas.openxmlformats.org/drawingml/2006/picture">
                <pic:pic>
                  <pic:nvPicPr>
                    <pic:cNvPr id="0" name="figure05.png"/>
                    <pic:cNvPicPr/>
                  </pic:nvPicPr>
                  <pic:blipFill>
                    <a:blip r:embed="rId12"/>
                    <a:stretch>
                      <a:fillRect/>
                    </a:stretch>
                  </pic:blipFill>
                  <pic:spPr>
                    <a:xfrm>
                      <a:off x="0" y="0"/>
                      <a:ext cx="5715000" cy="2602122"/>
                    </a:xfrm>
                    <a:prstGeom prst="rect"/>
                  </pic:spPr>
                </pic:pic>
              </a:graphicData>
            </a:graphic>
          </wp:inline>
        </w:drawing>
      </w:r>
    </w:p>
    <w:p>
      <w:pPr>
        <w:pStyle w:val="Caption"/>
      </w:pPr>
      <w:r>
        <w:t>图 5  每个点对应一个实际参数组合，共 432 点。横轴按 experiments.py 的固定枚举顺序，不按表现排序；零线下方表示优于 LIR。</w:t>
      </w:r>
    </w:p>
    <w:p>
      <w:r>
        <w:t>主实现 DRL 在 96.1% 的组合中测试成本低于 LIR；GDSH 对应比例为 98.6%。单个组合只测试 100 条轨迹，个别点的高低可能受抽样影响，不能仅凭点的正负判定普遍优劣。图 5 支持的结论应结合总体成本和成对差异一起阅读。</w:t>
      </w:r>
    </w:p>
    <w:p>
      <w:r>
        <w:t>LIR 与 WNH 的总体成本接近原文，为需求生成、成本定义和启发式结构提供了交叉检查，但不能据此证明每个未公开实现细节均相同。GDSH 在大规模总体上接近原文，与小规模未达到近最优精度的结果应分开解读。</w:t>
      </w:r>
    </w:p>
    <w:p>
      <w:pPr>
        <w:pStyle w:val="Heading1"/>
        <w:pageBreakBefore/>
      </w:pPr>
      <w:r>
        <w:t>正态需求分组成本与原文表 3 对照</w:t>
      </w:r>
    </w:p>
    <w:p>
      <w:r>
        <w:t>按原文 T、L、缺货成本比和成功概率分别分组。分组之间存在交叉，不能将各行样本数相加作为总规模。前四个成本列为本次计算，最后一列为原文 DRL；完整四策略原文对照见 table3_comparison.csv。</w:t>
      </w:r>
    </w:p>
    <w:tbl>
      <w:tblPr>
        <w:tblW w:type="auto" w:w="0"/>
        <w:jc w:val="center"/>
        <w:tblLayout w:type="fixed"/>
        <w:tblLook w:firstColumn="1" w:firstRow="1" w:lastColumn="0" w:lastRow="0" w:noHBand="0" w:noVBand="1" w:val="04A0"/>
      </w:tblPr>
      <w:tblGrid>
        <w:gridCol w:w="2160"/>
        <w:gridCol w:w="576"/>
        <w:gridCol w:w="1325"/>
        <w:gridCol w:w="1325"/>
        <w:gridCol w:w="1411"/>
        <w:gridCol w:w="1411"/>
        <w:gridCol w:w="1368"/>
      </w:tblGrid>
      <w:tr>
        <w:trPr>
          <w:cantSplit/>
          <w:tblHeader/>
        </w:trPr>
        <w:tc>
          <w:tcPr>
            <w:tcW w:type="dxa" w:w="216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left"/>
            </w:pPr>
            <w:r>
              <w:rPr>
                <w:b/>
                <w:sz w:val="16"/>
              </w:rPr>
              <w:t>分组</w:t>
            </w:r>
          </w:p>
        </w:tc>
        <w:tc>
          <w:tcPr>
            <w:tcW w:type="dxa" w:w="5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n</w:t>
            </w:r>
          </w:p>
        </w:tc>
        <w:tc>
          <w:tcPr>
            <w:tcW w:type="dxa" w:w="13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LIR</w:t>
            </w:r>
          </w:p>
        </w:tc>
        <w:tc>
          <w:tcPr>
            <w:tcW w:type="dxa" w:w="13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WNH</w:t>
            </w:r>
          </w:p>
        </w:tc>
        <w:tc>
          <w:tcPr>
            <w:tcW w:type="dxa" w:w="1411"/>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DRL</w:t>
            </w:r>
          </w:p>
        </w:tc>
        <w:tc>
          <w:tcPr>
            <w:tcW w:type="dxa" w:w="1411"/>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GDSH</w:t>
            </w:r>
          </w:p>
        </w:tc>
        <w:tc>
          <w:tcPr>
            <w:tcW w:type="dxa" w:w="136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原文 DRL</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T = 50</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3385.8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3360.4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3339.9</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3252.9</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3258</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T = 100</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4611.2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4584.9</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4547.0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4451.1</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4466</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L = 2</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2863.8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2861.5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2846.0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2816.0</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2804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L = 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5133.1</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5083.8</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5041.0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4887.9</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4921</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缺货成本比 = 0.85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72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3026.5</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3021.0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3001.0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2950.3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2956</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缺货成本比 = 0.9</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72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3689.8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3674.2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3648.8</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3564.8</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3562</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缺货成本比 = 0.95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72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5279.2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5222.6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5180.7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5040.9</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5068</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0.55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5356.5</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5422.4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5306.7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5003.5</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5110</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0.6</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4749.6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4731.4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4692.2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4591.3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4582</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0.65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4448.1</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4387.0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4359.8</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4280.7</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4277</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0.7</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4180.5</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4102.6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4081.5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4006.2</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4014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0.75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3895.7</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3830.7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3810.9</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3729.9</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3775</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0.8</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3749.0</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3696.9</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3679.6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3601.4</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3569</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0.85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3463.7</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3443.0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3430.8</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3363.7</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3352</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0.9</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3203.6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3200.5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3193.2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3162.3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3149</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0.95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2939.6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2939.1</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2936.5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2928.8</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2932</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全部</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216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3998.5</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3972.6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3943.5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3852.0</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3862</w:t>
            </w:r>
          </w:p>
        </w:tc>
      </w:tr>
    </w:tbl>
    <w:p>
      <w:pPr>
        <w:spacing w:line="40" w:lineRule="exact" w:after="80"/>
      </w:pPr>
      <w:r>
        <w:rPr>
          <w:sz w:val="2"/>
        </w:rPr>
      </w:r>
    </w:p>
    <w:p>
      <w:r>
        <w:t>本次该需求分布的总体 DRL 相对 LIR 成本差为 -1.38%，GDSH 为 -3.66%，批量损失对照 DRL 为 -3.72%。上述百分比采用本次同组平均成本计算，不能用原文整数化成本作为分母。</w:t>
      </w:r>
    </w:p>
    <w:p>
      <w:r>
        <w:t>成本水平随提前期、需求分布和缺货惩罚变化，直接比较绝对节约金额可能夸大高成本组的作用。因此后续图同时检查相对成本差。原文汇总成本经过取整，本次保留一位或两位小数便于复查。</w:t>
      </w:r>
    </w:p>
    <w:p>
      <w:pPr>
        <w:pStyle w:val="Heading1"/>
        <w:pageBreakBefore/>
      </w:pPr>
      <w:r>
        <w:t>Gamma 需求分组成本与原文表 3 对照</w:t>
      </w:r>
    </w:p>
    <w:p>
      <w:r>
        <w:t>按原文 T、L、缺货成本比和成功概率分别分组。分组之间存在交叉，不能将各行样本数相加作为总规模。前四个成本列为本次计算，最后一列为原文 DRL；完整四策略原文对照见 table3_comparison.csv。</w:t>
      </w:r>
    </w:p>
    <w:tbl>
      <w:tblPr>
        <w:tblW w:type="auto" w:w="0"/>
        <w:jc w:val="center"/>
        <w:tblLayout w:type="fixed"/>
        <w:tblLook w:firstColumn="1" w:firstRow="1" w:lastColumn="0" w:lastRow="0" w:noHBand="0" w:noVBand="1" w:val="04A0"/>
      </w:tblPr>
      <w:tblGrid>
        <w:gridCol w:w="2160"/>
        <w:gridCol w:w="576"/>
        <w:gridCol w:w="1325"/>
        <w:gridCol w:w="1325"/>
        <w:gridCol w:w="1411"/>
        <w:gridCol w:w="1411"/>
        <w:gridCol w:w="1368"/>
      </w:tblGrid>
      <w:tr>
        <w:trPr>
          <w:cantSplit/>
          <w:tblHeader/>
        </w:trPr>
        <w:tc>
          <w:tcPr>
            <w:tcW w:type="dxa" w:w="216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left"/>
            </w:pPr>
            <w:r>
              <w:rPr>
                <w:b/>
                <w:sz w:val="16"/>
              </w:rPr>
              <w:t>分组</w:t>
            </w:r>
          </w:p>
        </w:tc>
        <w:tc>
          <w:tcPr>
            <w:tcW w:type="dxa" w:w="57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n</w:t>
            </w:r>
          </w:p>
        </w:tc>
        <w:tc>
          <w:tcPr>
            <w:tcW w:type="dxa" w:w="13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LIR</w:t>
            </w:r>
          </w:p>
        </w:tc>
        <w:tc>
          <w:tcPr>
            <w:tcW w:type="dxa" w:w="1325"/>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WNH</w:t>
            </w:r>
          </w:p>
        </w:tc>
        <w:tc>
          <w:tcPr>
            <w:tcW w:type="dxa" w:w="1411"/>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DRL</w:t>
            </w:r>
          </w:p>
        </w:tc>
        <w:tc>
          <w:tcPr>
            <w:tcW w:type="dxa" w:w="1411"/>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GDSH</w:t>
            </w:r>
          </w:p>
        </w:tc>
        <w:tc>
          <w:tcPr>
            <w:tcW w:type="dxa" w:w="136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48" w:lineRule="exact"/>
              <w:jc w:val="center"/>
            </w:pPr>
            <w:r>
              <w:rPr>
                <w:b/>
                <w:sz w:val="16"/>
              </w:rPr>
              <w:t>原文 DRL</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T = 50</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3529.9</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3500.8</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3482.4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3389.3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3405</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T = 100</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4847.3</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4819.9</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4785.6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4683.7</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4682</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L = 2</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3031.4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3029.5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3015.3</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2984.1</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2965</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L = 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108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5345.8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5291.2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5252.6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5089.0</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5122</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缺货成本比 = 0.85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72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3158.6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3158.3</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3138.4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3083.4</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3106</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缺货成本比 = 0.9</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72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3860.7</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3844.5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3820.7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3737.5</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3738</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缺货成本比 = 0.95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72</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5546.5</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5478.3</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5442.8</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5288.6</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5286</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0.55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5500.8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5572.6</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5469.7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5136.7</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5231</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0.6</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4914.1</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4879.0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4842.1</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4741.1</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4710</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0.65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4578.4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4518.4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4495.2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4424.4</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4431</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0.7</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4334.0</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4261.2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4242.3</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4170.3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4189</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0.75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4137.6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4059.1</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4041.4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3948.6</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3938</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0.8</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3890.8</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3843.2</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3828.4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3742.6</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3750</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0.85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3697.9</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3670.5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3658.3</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3585.3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3554</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0.9</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3455.1</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3450.4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3442.5</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3401.1</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3379</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p = 0.95</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24</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3189.0</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3188.7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3185.7</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3178.7</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3209</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left"/>
            </w:pPr>
            <w:r>
              <w:rPr>
                <w:b w:val="0"/>
                <w:sz w:val="16"/>
              </w:rPr>
              <w:t>全部</w:t>
            </w:r>
          </w:p>
        </w:tc>
        <w:tc>
          <w:tcPr>
            <w:tcW w:type="dxa" w:w="57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216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4188.6</w:t>
            </w:r>
          </w:p>
        </w:tc>
        <w:tc>
          <w:tcPr>
            <w:tcW w:type="dxa" w:w="1325"/>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4160.4</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4134.0</w:t>
            </w:r>
          </w:p>
        </w:tc>
        <w:tc>
          <w:tcPr>
            <w:tcW w:type="dxa" w:w="1411"/>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4036.5</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48" w:lineRule="exact"/>
              <w:jc w:val="center"/>
            </w:pPr>
            <w:r>
              <w:rPr>
                <w:b w:val="0"/>
                <w:sz w:val="16"/>
              </w:rPr>
              <w:t>4043</w:t>
            </w:r>
          </w:p>
        </w:tc>
      </w:tr>
    </w:tbl>
    <w:p>
      <w:pPr>
        <w:spacing w:line="40" w:lineRule="exact" w:after="80"/>
      </w:pPr>
      <w:r>
        <w:rPr>
          <w:sz w:val="2"/>
        </w:rPr>
      </w:r>
    </w:p>
    <w:p>
      <w:r>
        <w:t>本次该需求分布的总体 DRL 相对 LIR 成本差为 -1.30%，GDSH 为 -3.63%，批量损失对照 DRL 为 -3.62%。上述百分比采用本次同组平均成本计算，不能用原文整数化成本作为分母。</w:t>
      </w:r>
    </w:p>
    <w:p>
      <w:r>
        <w:t>成本水平随提前期、需求分布和缺货惩罚变化，直接比较绝对节约金额可能夸大高成本组的作用。因此后续图同时检查相对成本差。原文汇总成本经过取整，本次保留一位或两位小数便于复查。</w:t>
      </w:r>
    </w:p>
    <w:p>
      <w:pPr>
        <w:pStyle w:val="Heading1"/>
        <w:pageBreakBefore/>
      </w:pPr>
      <w:r>
        <w:t>成功概率和学习过程</w:t>
      </w:r>
    </w:p>
    <w:p>
      <w:pPr>
        <w:keepNext/>
        <w:spacing w:after="40"/>
        <w:jc w:val="center"/>
      </w:pPr>
      <w:r>
        <w:drawing>
          <wp:inline xmlns:a="http://schemas.openxmlformats.org/drawingml/2006/main" xmlns:pic="http://schemas.openxmlformats.org/drawingml/2006/picture">
            <wp:extent cx="5760720" cy="2681049"/>
            <wp:docPr id="4" name="Picture 4"/>
            <wp:cNvGraphicFramePr>
              <a:graphicFrameLocks noChangeAspect="1"/>
            </wp:cNvGraphicFramePr>
            <a:graphic>
              <a:graphicData uri="http://schemas.openxmlformats.org/drawingml/2006/picture">
                <pic:pic>
                  <pic:nvPicPr>
                    <pic:cNvPr id="0" name="yield_sensitivity.png"/>
                    <pic:cNvPicPr/>
                  </pic:nvPicPr>
                  <pic:blipFill>
                    <a:blip r:embed="rId13"/>
                    <a:stretch>
                      <a:fillRect/>
                    </a:stretch>
                  </pic:blipFill>
                  <pic:spPr>
                    <a:xfrm>
                      <a:off x="0" y="0"/>
                      <a:ext cx="5760720" cy="2681049"/>
                    </a:xfrm>
                    <a:prstGeom prst="rect"/>
                  </pic:spPr>
                </pic:pic>
              </a:graphicData>
            </a:graphic>
          </wp:inline>
        </w:drawing>
      </w:r>
    </w:p>
    <w:p>
      <w:pPr>
        <w:pStyle w:val="Caption"/>
      </w:pPr>
      <w:r>
        <w:t>按成功概率 p 对其余参数等权汇总。原文 DRL 为表 3 报告的成本差；本次三条曲线来自同一组测试轨迹上的实际策略成本。</w:t>
      </w:r>
    </w:p>
    <w:p>
      <w:r>
        <w:t>成功概率越低，整批交付失败的可能性越大，在途订单的不确定性越强。WNH 枚举离散产出路径，GDSH 与 DRL 在此结构上调整权重，这为改善 LIR 提供了可解释的方向。不过，某条曲线在个别 p 值的波动不能单独归因于经济机制，还可能来自有限样本和网络优化。</w:t>
      </w:r>
    </w:p>
    <w:p>
      <w:pPr>
        <w:keepNext/>
        <w:spacing w:after="40"/>
        <w:jc w:val="center"/>
      </w:pPr>
      <w:r>
        <w:drawing>
          <wp:inline xmlns:a="http://schemas.openxmlformats.org/drawingml/2006/main" xmlns:pic="http://schemas.openxmlformats.org/drawingml/2006/picture">
            <wp:extent cx="5486400" cy="2482956"/>
            <wp:docPr id="5" name="Picture 5"/>
            <wp:cNvGraphicFramePr>
              <a:graphicFrameLocks noChangeAspect="1"/>
            </wp:cNvGraphicFramePr>
            <a:graphic>
              <a:graphicData uri="http://schemas.openxmlformats.org/drawingml/2006/picture">
                <pic:pic>
                  <pic:nvPicPr>
                    <pic:cNvPr id="0" name="learning.png"/>
                    <pic:cNvPicPr/>
                  </pic:nvPicPr>
                  <pic:blipFill>
                    <a:blip r:embed="rId14"/>
                    <a:stretch>
                      <a:fillRect/>
                    </a:stretch>
                  </pic:blipFill>
                  <pic:spPr>
                    <a:xfrm>
                      <a:off x="0" y="0"/>
                      <a:ext cx="5486400" cy="2482956"/>
                    </a:xfrm>
                    <a:prstGeom prst="rect"/>
                  </pic:spPr>
                </pic:pic>
              </a:graphicData>
            </a:graphic>
          </wp:inline>
        </w:drawing>
      </w:r>
    </w:p>
    <w:p>
      <w:pPr>
        <w:pStyle w:val="Caption"/>
      </w:pPr>
      <w:r>
        <w:t>训练诊断  选择原文附录 B 指定的正态和 Gamma 案例。纵轴是训练平均成本相对初始 WNH 的差距。曲线记录每轮更新前的成本，不是独立测试成本，也不是逐轨迹指数损失本身。</w:t>
      </w:r>
    </w:p>
    <w:p>
      <w:r>
        <w:t>训练成本下降只能说明固定训练样本上的优化有效。本次所有结论均使用单独的测试轨迹；没有用学习曲线最低点替代第 300 轮的最终模型。</w:t>
      </w:r>
    </w:p>
    <w:p>
      <w:pPr>
        <w:pStyle w:val="Heading1"/>
        <w:pageBreakBefore/>
      </w:pPr>
      <w:r>
        <w:t>订货策略热图</w:t>
      </w:r>
    </w:p>
    <w:p>
      <w:pPr>
        <w:keepNext/>
        <w:spacing w:after="40"/>
        <w:jc w:val="center"/>
      </w:pPr>
      <w:r>
        <w:drawing>
          <wp:inline xmlns:a="http://schemas.openxmlformats.org/drawingml/2006/main" xmlns:pic="http://schemas.openxmlformats.org/drawingml/2006/picture">
            <wp:extent cx="5943600" cy="4112533"/>
            <wp:docPr id="6" name="Picture 6"/>
            <wp:cNvGraphicFramePr>
              <a:graphicFrameLocks noChangeAspect="1"/>
            </wp:cNvGraphicFramePr>
            <a:graphic>
              <a:graphicData uri="http://schemas.openxmlformats.org/drawingml/2006/picture">
                <pic:pic>
                  <pic:nvPicPr>
                    <pic:cNvPr id="0" name="figureB01.png"/>
                    <pic:cNvPicPr/>
                  </pic:nvPicPr>
                  <pic:blipFill>
                    <a:blip r:embed="rId15"/>
                    <a:stretch>
                      <a:fillRect/>
                    </a:stretch>
                  </pic:blipFill>
                  <pic:spPr>
                    <a:xfrm>
                      <a:off x="0" y="0"/>
                      <a:ext cx="5943600" cy="4112533"/>
                    </a:xfrm>
                    <a:prstGeom prst="rect"/>
                  </pic:spPr>
                </pic:pic>
              </a:graphicData>
            </a:graphic>
          </wp:inline>
        </w:drawing>
      </w:r>
    </w:p>
    <w:p>
      <w:pPr>
        <w:pStyle w:val="Caption"/>
      </w:pPr>
      <w:r>
        <w:t>图 B.1  上排正态需求 σ = 2，下排 Gamma 需求尺度 3.2；共同设定 L = 2、T = 50、p = 0.55、b/(b+h) = 0.9。每行共享色标。</w:t>
      </w:r>
    </w:p>
    <w:p>
      <w:r>
        <w:t>横轴为唯一的在途订单量，纵轴为收货后库存，颜色为订货量。LIR 和 WNH 由解析策略直接计算，DRL 使用对应已训练模型前向求值。同一行统一色标，避免色轴差异制造视觉上的策略差异。</w:t>
      </w:r>
    </w:p>
    <w:p>
      <w:r>
        <w:t>LIR 随预期在途库存线性调整；WNH 在成功与失败两条产出路径的订货缺口之间加权，因而出现折线边界。DRL 保留同样的路径缺口结构，通过状态相关权重调整曲面。这些热图展示策略形状，不能代替成本检验。</w:t>
      </w:r>
    </w:p>
    <w:p>
      <w:r>
        <w:t>网格包含大量训练轨迹未访问的库存状态，是对学习策略的外推展示。本次没有计算这些全部状态的连续最优动作，也未将颜色相近解读为全状态最优。热图的原始网格与订货数值保存在 policy_surfaces.npz。</w:t>
      </w:r>
    </w:p>
    <w:p>
      <w:pPr>
        <w:pStyle w:val="Heading1"/>
        <w:pageBreakBefore/>
      </w:pPr>
      <w:r>
        <w:t>策略差异和实现对照</w:t>
      </w:r>
    </w:p>
    <w:p>
      <w:pPr>
        <w:keepNext/>
        <w:spacing w:after="40"/>
        <w:jc w:val="center"/>
      </w:pPr>
      <w:r>
        <w:drawing>
          <wp:inline xmlns:a="http://schemas.openxmlformats.org/drawingml/2006/main" xmlns:pic="http://schemas.openxmlformats.org/drawingml/2006/picture">
            <wp:extent cx="5486400" cy="4269204"/>
            <wp:docPr id="7" name="Picture 7"/>
            <wp:cNvGraphicFramePr>
              <a:graphicFrameLocks noChangeAspect="1"/>
            </wp:cNvGraphicFramePr>
            <a:graphic>
              <a:graphicData uri="http://schemas.openxmlformats.org/drawingml/2006/picture">
                <pic:pic>
                  <pic:nvPicPr>
                    <pic:cNvPr id="0" name="figureB02.png"/>
                    <pic:cNvPicPr/>
                  </pic:nvPicPr>
                  <pic:blipFill>
                    <a:blip r:embed="rId16"/>
                    <a:stretch>
                      <a:fillRect/>
                    </a:stretch>
                  </pic:blipFill>
                  <pic:spPr>
                    <a:xfrm>
                      <a:off x="0" y="0"/>
                      <a:ext cx="5486400" cy="4269204"/>
                    </a:xfrm>
                    <a:prstGeom prst="rect"/>
                  </pic:spPr>
                </pic:pic>
              </a:graphicData>
            </a:graphic>
          </wp:inline>
        </w:drawing>
      </w:r>
    </w:p>
    <w:p>
      <w:pPr>
        <w:pStyle w:val="Caption"/>
      </w:pPr>
      <w:r>
        <w:t>图 B.2  同一网格上的 LIR − DRL 及 WNH − DRL。正数表示对应启发式订货更多，负数表示 DRL 订货更多；每行使用以零为中心的对称色标。</w:t>
      </w:r>
    </w:p>
    <w:p>
      <w:r>
        <w:t>策略差异可定位学习改变了哪些状态下的动作，但“多订”或“少订”本身没有统一的好坏方向。当需求和产出随机变化时，成本由后续整条轨迹决定，不能把单个网格点的差值直接当作成本改善。</w:t>
      </w:r>
    </w:p>
    <w:p>
      <w:r>
        <w:t>本次额外保存 figureB01_audit，展示同一训练样本和同一初始化下、改用批量损失后的策略曲面。两套网络的差异来自明确改变的目标聚合方式，不是用不同案例或种子替换展示结果。</w:t>
      </w:r>
    </w:p>
    <w:p>
      <w:r>
        <w:t>论文热图使用的具体状态网格密度和训练随机种子未公开。本次按图示范围构建 121 × 121 网格，输出连续动作，不通过图像像素反推或复制原文动作数值。</w:t>
      </w:r>
    </w:p>
    <w:p>
      <w:pPr>
        <w:pStyle w:val="Heading1"/>
        <w:pageBreakBefore/>
      </w:pPr>
      <w:r>
        <w:t>损失函数对照与配对测试</w:t>
      </w:r>
    </w:p>
    <w:p>
      <w:pPr>
        <w:keepNext/>
        <w:spacing w:after="40"/>
        <w:jc w:val="center"/>
      </w:pPr>
      <w:r>
        <w:drawing>
          <wp:inline xmlns:a="http://schemas.openxmlformats.org/drawingml/2006/main" xmlns:pic="http://schemas.openxmlformats.org/drawingml/2006/picture">
            <wp:extent cx="5760720" cy="2622939"/>
            <wp:docPr id="8" name="Picture 8"/>
            <wp:cNvGraphicFramePr>
              <a:graphicFrameLocks noChangeAspect="1"/>
            </wp:cNvGraphicFramePr>
            <a:graphic>
              <a:graphicData uri="http://schemas.openxmlformats.org/drawingml/2006/picture">
                <pic:pic>
                  <pic:nvPicPr>
                    <pic:cNvPr id="0" name="figure05_audit.png"/>
                    <pic:cNvPicPr/>
                  </pic:nvPicPr>
                  <pic:blipFill>
                    <a:blip r:embed="rId17"/>
                    <a:stretch>
                      <a:fillRect/>
                    </a:stretch>
                  </pic:blipFill>
                  <pic:spPr>
                    <a:xfrm>
                      <a:off x="0" y="0"/>
                      <a:ext cx="5760720" cy="2622939"/>
                    </a:xfrm>
                    <a:prstGeom prst="rect"/>
                  </pic:spPr>
                </pic:pic>
              </a:graphicData>
            </a:graphic>
          </wp:inline>
        </w:drawing>
      </w:r>
    </w:p>
    <w:p>
      <w:pPr>
        <w:pStyle w:val="Caption"/>
      </w:pPr>
      <w:r>
        <w:t>同一 432 组大规模问题的两种 DRL 目标。左图先逐轨迹取指数再平均，右图先平均成本再取指数。所有测试轨迹保持一致。</w:t>
      </w:r>
    </w:p>
    <w:tbl>
      <w:tblPr>
        <w:tblW w:type="auto" w:w="0"/>
        <w:jc w:val="center"/>
        <w:tblLayout w:type="fixed"/>
        <w:tblLook w:firstColumn="1" w:firstRow="1" w:lastColumn="0" w:lastRow="0" w:noHBand="0" w:noVBand="1" w:val="04A0"/>
      </w:tblPr>
      <w:tblGrid>
        <w:gridCol w:w="4392"/>
        <w:gridCol w:w="1728"/>
        <w:gridCol w:w="1728"/>
        <w:gridCol w:w="1728"/>
      </w:tblGrid>
      <w:tr>
        <w:trPr>
          <w:cantSplit/>
          <w:tblHeader/>
        </w:trPr>
        <w:tc>
          <w:tcPr>
            <w:tcW w:type="dxa" w:w="439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left"/>
            </w:pPr>
            <w:r>
              <w:rPr>
                <w:b/>
                <w:sz w:val="17"/>
              </w:rPr>
              <w:t>比较口径</w:t>
            </w:r>
          </w:p>
        </w:tc>
        <w:tc>
          <w:tcPr>
            <w:tcW w:type="dxa" w:w="172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L2 小规模</w:t>
            </w:r>
          </w:p>
        </w:tc>
        <w:tc>
          <w:tcPr>
            <w:tcW w:type="dxa" w:w="172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L3 小规模</w:t>
            </w:r>
          </w:p>
        </w:tc>
        <w:tc>
          <w:tcPr>
            <w:tcW w:type="dxa" w:w="1728"/>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4" w:lineRule="exact"/>
              <w:jc w:val="center"/>
            </w:pPr>
            <w:r>
              <w:rPr>
                <w:b/>
                <w:sz w:val="17"/>
              </w:rPr>
              <w:t>大规模</w:t>
            </w:r>
          </w:p>
        </w:tc>
      </w:tr>
      <w:tr>
        <w:trPr>
          <w:cantSplit/>
        </w:trPr>
        <w:tc>
          <w:tcPr>
            <w:tcW w:type="dxa" w:w="43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主 DRL 相对各自基准</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3.18%</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3.96%</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-1.34%</w:t>
            </w:r>
          </w:p>
        </w:tc>
      </w:tr>
      <w:tr>
        <w:trPr>
          <w:cantSplit/>
        </w:trPr>
        <w:tc>
          <w:tcPr>
            <w:tcW w:type="dxa" w:w="43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批量损失对照</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2.23%</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2.12%</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-3.67%</w:t>
            </w:r>
          </w:p>
        </w:tc>
      </w:tr>
      <w:tr>
        <w:trPr>
          <w:cantSplit/>
        </w:trPr>
        <w:tc>
          <w:tcPr>
            <w:tcW w:type="dxa" w:w="439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left"/>
            </w:pPr>
            <w:r>
              <w:rPr>
                <w:b w:val="0"/>
                <w:sz w:val="17"/>
              </w:rPr>
              <w:t>主 DRL 相对同样本 DP 策略</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3.41%</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3.59%</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4" w:lineRule="exact"/>
              <w:jc w:val="center"/>
            </w:pPr>
            <w:r>
              <w:rPr>
                <w:b w:val="0"/>
                <w:sz w:val="17"/>
              </w:rPr>
              <w:t>不求解 DP</w:t>
            </w:r>
          </w:p>
        </w:tc>
      </w:tr>
    </w:tbl>
    <w:p>
      <w:pPr>
        <w:spacing w:line="40" w:lineRule="exact" w:after="80"/>
      </w:pPr>
      <w:r>
        <w:rPr>
          <w:sz w:val="2"/>
        </w:rPr>
      </w:r>
    </w:p>
    <w:p>
      <w:r>
        <w:t>最后一行在各组相同的 100 条连续需求轨迹上评价由 DP 网格策略插值得到的可行策略，用于排查仅比较模拟成本和 DP 期望值造成的样本偏差。它与精确最优值不是同一个对象，因此主文同时保留这两个分母。</w:t>
      </w:r>
    </w:p>
    <w:p>
      <w:r>
        <w:t>对照改变的是风险加权方式。逐轨迹指数会高度惩罚相对 WNH 较差的少量路径，即使其他路径节约更多成本，也可能得不到更低的训练目标。批量对照更直接追求平均成本，但仍受到有限样本、网络参数化和优化轮数的限制。</w:t>
      </w:r>
    </w:p>
    <w:p>
      <w:r>
        <w:t>在完整 432 组上，批量对照相对 LIR 为 -3.67 ± 0.12%，其平均节约幅度接近原文 3.60%。这一对齐只出现在已明确改变的目标解释下，而小规模近最优精度和 δ 的最优取值仍未对齐，故不能将其推广为全部实验的精确复现。</w:t>
      </w:r>
    </w:p>
    <w:p>
      <w:r>
        <w:t>本次未对所有参数组合重复多套训练种子，因此不能给出跨初始化的完整置信区间。图表误差线主要回答已训练策略在新需求和产出路径上的测试不确定性。</w:t>
      </w:r>
    </w:p>
    <w:p>
      <w:pPr>
        <w:pStyle w:val="Heading1"/>
        <w:pageBreakBefore/>
      </w:pPr>
      <w:r>
        <w:t>时间输入和非平稳需求扩展</w:t>
      </w:r>
    </w:p>
    <w:tbl>
      <w:tblPr>
        <w:tblW w:type="auto" w:w="0"/>
        <w:jc w:val="center"/>
        <w:tblLayout w:type="fixed"/>
        <w:tblLook w:firstColumn="1" w:firstRow="1" w:lastColumn="0" w:lastRow="0" w:noHBand="0" w:noVBand="1" w:val="04A0"/>
      </w:tblPr>
      <w:tblGrid>
        <w:gridCol w:w="1656"/>
        <w:gridCol w:w="2016"/>
        <w:gridCol w:w="2880"/>
        <w:gridCol w:w="3024"/>
      </w:tblGrid>
      <w:tr>
        <w:trPr>
          <w:cantSplit/>
          <w:tblHeader/>
        </w:trPr>
        <w:tc>
          <w:tcPr>
            <w:tcW w:type="dxa" w:w="16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方法</w:t>
            </w:r>
          </w:p>
        </w:tc>
        <w:tc>
          <w:tcPr>
            <w:tcW w:type="dxa" w:w="201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原文平均成本</w:t>
            </w:r>
          </w:p>
        </w:tc>
        <w:tc>
          <w:tcPr>
            <w:tcW w:type="dxa" w:w="288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本次平均成本</w:t>
            </w:r>
          </w:p>
        </w:tc>
        <w:tc>
          <w:tcPr>
            <w:tcW w:type="dxa" w:w="302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本次相对 LIR</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DRL</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3953</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4038.71 ± 10.70</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-1.34 ± 0.07%</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DRL(t)</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3952</w:t>
            </w:r>
          </w:p>
        </w:tc>
        <w:tc>
          <w:tcPr>
            <w:tcW w:type="dxa" w:w="288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4035.48 ± 10.70</w:t>
            </w:r>
          </w:p>
        </w:tc>
        <w:tc>
          <w:tcPr>
            <w:tcW w:type="dxa" w:w="30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-1.42 ± 0.07%</w:t>
            </w:r>
          </w:p>
        </w:tc>
      </w:tr>
    </w:tbl>
    <w:p>
      <w:pPr>
        <w:spacing w:line="40" w:lineRule="exact" w:after="80"/>
      </w:pPr>
      <w:r>
        <w:rPr>
          <w:sz w:val="2"/>
        </w:rPr>
      </w:r>
    </w:p>
    <w:p>
      <w:r>
        <w:t>附录 C 对照在状态输入中增加 t/(T−1)，其余训练样本、目标和参数设计与主实验一致。表中来自全部 432 组，未仅选择展示案例。网络输入维度变化会改变初始化张量的构造，因此不能声称两张不同结构的网络具有逐参数相同的初始值。</w:t>
      </w:r>
    </w:p>
    <w:p>
      <w:r>
        <w:t>本次 DRL(t) 相对主 DRL 的成本差为 -0.080 ± 0.003%。区间由同一测试轨迹上的成对成本计算；它比较这两套已训练模型，不覆盖重新初始化或重新抽取训练数据的影响。</w:t>
      </w:r>
    </w:p>
    <w:p>
      <w:r>
        <w:t>附录 D.2 使用 T = 100、L = 2、p = 0.7、α = 0.99、cₒ = 2、h = 1、b = 9，基础需求为 N(10, 2²)，叠加均值按 −5、−1、0、1、5 循环、标准差为 1 的独立正态扰动。需求截为非负，各决策期使用独立参数的 DRL 网络。</w:t>
      </w:r>
    </w:p>
    <w:tbl>
      <w:tblPr>
        <w:tblW w:type="auto" w:w="0"/>
        <w:jc w:val="center"/>
        <w:tblLayout w:type="fixed"/>
        <w:tblLook w:firstColumn="1" w:firstRow="1" w:lastColumn="0" w:lastRow="0" w:noHBand="0" w:noVBand="1" w:val="04A0"/>
      </w:tblPr>
      <w:tblGrid>
        <w:gridCol w:w="1800"/>
        <w:gridCol w:w="1800"/>
        <w:gridCol w:w="2520"/>
        <w:gridCol w:w="3456"/>
      </w:tblGrid>
      <w:tr>
        <w:trPr>
          <w:cantSplit/>
          <w:tblHeader/>
        </w:trPr>
        <w:tc>
          <w:tcPr>
            <w:tcW w:type="dxa" w:w="18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left"/>
            </w:pPr>
            <w:r>
              <w:rPr>
                <w:b/>
                <w:sz w:val="17"/>
              </w:rPr>
              <w:t>方法</w:t>
            </w:r>
          </w:p>
        </w:tc>
        <w:tc>
          <w:tcPr>
            <w:tcW w:type="dxa" w:w="180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原文成本</w:t>
            </w:r>
          </w:p>
        </w:tc>
        <w:tc>
          <w:tcPr>
            <w:tcW w:type="dxa" w:w="252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本次 100 条</w:t>
            </w:r>
          </w:p>
        </w:tc>
        <w:tc>
          <w:tcPr>
            <w:tcW w:type="dxa" w:w="345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本次 5,000 条</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LIR</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3351</w:t>
            </w:r>
          </w:p>
        </w:tc>
        <w:tc>
          <w:tcPr>
            <w:tcW w:type="dxa" w:w="25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3709.53</w:t>
            </w:r>
          </w:p>
        </w:tc>
        <w:tc>
          <w:tcPr>
            <w:tcW w:type="dxa" w:w="34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3547.54 ± 16.64</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WNH</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3309</w:t>
            </w:r>
          </w:p>
        </w:tc>
        <w:tc>
          <w:tcPr>
            <w:tcW w:type="dxa" w:w="25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3642.05</w:t>
            </w:r>
          </w:p>
        </w:tc>
        <w:tc>
          <w:tcPr>
            <w:tcW w:type="dxa" w:w="34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3485.84 ± 15.48</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DRL</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3134</w:t>
            </w:r>
          </w:p>
        </w:tc>
        <w:tc>
          <w:tcPr>
            <w:tcW w:type="dxa" w:w="25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3478.27</w:t>
            </w:r>
          </w:p>
        </w:tc>
        <w:tc>
          <w:tcPr>
            <w:tcW w:type="dxa" w:w="34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3333.17 ± 14.37</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GDSH</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3134</w:t>
            </w:r>
          </w:p>
        </w:tc>
        <w:tc>
          <w:tcPr>
            <w:tcW w:type="dxa" w:w="25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3597.27</w:t>
            </w:r>
          </w:p>
        </w:tc>
        <w:tc>
          <w:tcPr>
            <w:tcW w:type="dxa" w:w="34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3451.92 ± 14.29</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DRL_batch</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w:t>
            </w:r>
          </w:p>
        </w:tc>
        <w:tc>
          <w:tcPr>
            <w:tcW w:type="dxa" w:w="252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3415.51</w:t>
            </w:r>
          </w:p>
        </w:tc>
        <w:tc>
          <w:tcPr>
            <w:tcW w:type="dxa" w:w="34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3287.96 ± 13.90</w:t>
            </w:r>
          </w:p>
        </w:tc>
      </w:tr>
    </w:tbl>
    <w:p>
      <w:pPr>
        <w:spacing w:line="40" w:lineRule="exact" w:after="80"/>
      </w:pPr>
      <w:r>
        <w:rPr>
          <w:sz w:val="2"/>
        </w:rPr>
      </w:r>
    </w:p>
    <w:p>
      <w:r>
        <w:t>100 条测试对应论文测试规模，5,000 条为额外稳定性检查且包含前 100 条；两者不是独立复制。本次非平稳安全库存取当期均值和方差代入式 3。原文指出该方法源于 IID 情形，但未给出唯一的非平稳闭式改写，因此本表仍包含这一实现差异。</w:t>
      </w:r>
    </w:p>
    <w:p>
      <w:r>
        <w:t>5,000 条测试中的主 DRL 相对 LIR 成本差为 -6.04 ± 0.11%，GDSH 为 -2.70 ± 0.10%。绝对成本和策略排序仍应与原文分别核对，不能仅凭改善方向一致而认定扩展已精确复现。</w:t>
      </w:r>
    </w:p>
    <w:p>
      <w:r>
        <w:t>附录 D.1 的向上取整批量动作会使通常的自动微分梯度几乎处处为零。在没有额外梯度估计说明的情况下，本次没有用未经说明的直通梯度替代它，也没有声称已验证批量订货下的训练效果。</w:t>
      </w:r>
    </w:p>
    <w:p>
      <w:pPr>
        <w:pStyle w:val="Heading1"/>
        <w:pageBreakBefore/>
      </w:pPr>
      <w:r>
        <w:t>验证记录和可复查文件</w:t>
      </w:r>
    </w:p>
    <w:tbl>
      <w:tblPr>
        <w:tblW w:type="auto" w:w="0"/>
        <w:jc w:val="center"/>
        <w:tblLayout w:type="fixed"/>
        <w:tblLook w:firstColumn="1" w:firstRow="1" w:lastColumn="0" w:lastRow="0" w:noHBand="0" w:noVBand="1" w:val="04A0"/>
      </w:tblPr>
      <w:tblGrid>
        <w:gridCol w:w="1944"/>
        <w:gridCol w:w="7632"/>
      </w:tblGrid>
      <w:tr>
        <w:trPr>
          <w:cantSplit/>
          <w:tblHeader/>
        </w:trPr>
        <w:tc>
          <w:tcPr>
            <w:tcW w:type="dxa" w:w="1944"/>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left"/>
            </w:pPr>
            <w:r>
              <w:rPr>
                <w:b/>
                <w:sz w:val="18"/>
              </w:rPr>
              <w:t>验证层次</w:t>
            </w:r>
          </w:p>
        </w:tc>
        <w:tc>
          <w:tcPr>
            <w:tcW w:type="dxa" w:w="7632"/>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60" w:lineRule="exact"/>
              <w:jc w:val="center"/>
            </w:pPr>
            <w:r>
              <w:rPr>
                <w:b/>
                <w:sz w:val="18"/>
              </w:rPr>
              <w:t>本次检查</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独立模拟器</w:t>
            </w:r>
          </w:p>
        </w:tc>
        <w:tc>
          <w:tcPr>
            <w:tcW w:type="dxa" w:w="76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NumPy 与 PyTorch 的轨迹、收货、订货、期末库存和成本逐项一致。</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手算场景</w:t>
            </w:r>
          </w:p>
        </w:tc>
        <w:tc>
          <w:tcPr>
            <w:tcW w:type="dxa" w:w="76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核对首 L 期无到货、失败批次不付费、最后 L 期不订货和折现成本。</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梯度</w:t>
            </w:r>
          </w:p>
        </w:tc>
        <w:tc>
          <w:tcPr>
            <w:tcW w:type="dxa" w:w="76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完整轨迹自动微分与中心有限差分相符；初始神经策略精确等于 WNH。</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独立批处理</w:t>
            </w:r>
          </w:p>
        </w:tc>
        <w:tc>
          <w:tcPr>
            <w:tcW w:type="dxa" w:w="76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多模型一起计算与单模型训练结果一致；参数和随机数不跨案例共享。</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模型回放</w:t>
            </w:r>
          </w:p>
        </w:tc>
        <w:tc>
          <w:tcPr>
            <w:tcW w:type="dxa" w:w="76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从保存的权重文件重新加载 14 个代表案例的两种学习策略，与原测试成本逐条比较。</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left"/>
            </w:pPr>
            <w:r>
              <w:rPr>
                <w:b w:val="0"/>
                <w:sz w:val="18"/>
              </w:rPr>
              <w:t>动态规划</w:t>
            </w:r>
          </w:p>
        </w:tc>
        <w:tc>
          <w:tcPr>
            <w:tcW w:type="dxa" w:w="763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60" w:lineRule="exact"/>
              <w:jc w:val="center"/>
            </w:pPr>
            <w:r>
              <w:rPr>
                <w:b w:val="0"/>
                <w:sz w:val="18"/>
              </w:rPr>
              <w:t>需求概率归一、需求卷积、确定性手算、凸性搜索及非凸回退均检查通过。</w:t>
            </w:r>
          </w:p>
        </w:tc>
      </w:tr>
    </w:tbl>
    <w:p>
      <w:pPr>
        <w:spacing w:line="40" w:lineRule="exact" w:after="80"/>
      </w:pPr>
      <w:r>
        <w:rPr>
          <w:sz w:val="2"/>
        </w:rPr>
      </w:r>
    </w:p>
    <w:p>
      <w:r>
        <w:t>tests/verify.py 和 tests/verify_dp.py 的正式验证结果分别保存于 verification.json 与 verification_dp.json。通过这些检查说明库存动态和数值程序在所测情形下一致，不等价于证明神经网络已经全局最优，也不等价于确认所有未公开细节与作者实现完全一致。</w:t>
      </w:r>
    </w:p>
    <w:p>
      <w:r>
        <w:t>另在源码包推荐的 Python 3.11、Numba 0.61.2、NumPy 1.26.4 和 SciPy 1.14.1 组合下，重新验证 DP 并复算 12 个代表性案例，期望成本与原始独立运行环境一致。记录见 dependency_compatibility.json；这不是对所有平台逐位一致性的承诺。</w:t>
      </w:r>
    </w:p>
    <w:tbl>
      <w:tblPr>
        <w:tblW w:type="auto" w:w="0"/>
        <w:jc w:val="center"/>
        <w:tblLayout w:type="fixed"/>
        <w:tblLook w:firstColumn="1" w:firstRow="1" w:lastColumn="0" w:lastRow="0" w:noHBand="0" w:noVBand="1" w:val="04A0"/>
      </w:tblPr>
      <w:tblGrid>
        <w:gridCol w:w="3816"/>
        <w:gridCol w:w="5760"/>
      </w:tblGrid>
      <w:tr>
        <w:trPr>
          <w:cantSplit/>
          <w:tblHeader/>
        </w:trPr>
        <w:tc>
          <w:tcPr>
            <w:tcW w:type="dxa" w:w="3816"/>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left"/>
            </w:pPr>
            <w:r>
              <w:rPr>
                <w:b/>
                <w:sz w:val="17"/>
              </w:rPr>
              <w:t>文件或目录</w:t>
            </w:r>
          </w:p>
        </w:tc>
        <w:tc>
          <w:tcPr>
            <w:tcW w:type="dxa" w:w="5760"/>
            <w:vAlign w:val="center"/>
            <w:tcBorders>
              <w:top w:val="single" w:sz="4" w:color="D9D9D9"/>
              <w:left w:val="single" w:sz="4" w:color="D9D9D9"/>
              <w:bottom w:val="single" w:sz="4" w:color="D9D9D9"/>
              <w:right w:val="single" w:sz="4" w:color="D9D9D9"/>
            </w:tcBorders>
            <w:shd w:fill="E8E8E8"/>
            <w:tcMar>
              <w:top w:w="70" w:type="dxa"/>
              <w:bottom w:w="70" w:type="dxa"/>
              <w:left w:w="70" w:type="dxa"/>
              <w:right w:w="70" w:type="dxa"/>
            </w:tcMar>
          </w:tcPr>
          <w:p>
            <w:pPr>
              <w:spacing w:after="0" w:before="0" w:line="256" w:lineRule="exact"/>
              <w:jc w:val="center"/>
            </w:pPr>
            <w:r>
              <w:rPr>
                <w:b/>
                <w:sz w:val="17"/>
              </w:rPr>
              <w:t>用途</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inventory.py</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环境、解析策略、神经策略和完整轨迹训练。</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run_experiments.py</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972 组及 432 组主实验，可按已完成案例恢复。</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run_variants.py</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损失聚合、δ 和时间输入对照，单独存放结果。</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dynamic_programming.py</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独立数值 DP、加密网格及订单上限检查。</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results/case_summary.csv</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每组参数和四策略成本、DP 基准及批量对照。</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results/table3_comparison.csv</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全部分组成本、成本差和原文参照。</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results/*/编号</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种子、完成记录、逐轨迹测试成本、训练过程和模型。</w:t>
            </w:r>
          </w:p>
        </w:tc>
      </w:tr>
      <w:tr>
        <w:trPr>
          <w:cantSplit/>
        </w:trPr>
        <w:tc>
          <w:tcPr>
            <w:tcW w:type="dxa" w:w="38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left"/>
            </w:pPr>
            <w:r>
              <w:rPr>
                <w:b w:val="0"/>
                <w:sz w:val="17"/>
              </w:rPr>
              <w:t>make_figures.py 和 build_report.py</w:t>
            </w:r>
          </w:p>
        </w:tc>
        <w:tc>
          <w:tcPr>
            <w:tcW w:type="dxa" w:w="576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0" w:before="0" w:line="256" w:lineRule="exact"/>
              <w:jc w:val="center"/>
            </w:pPr>
            <w:r>
              <w:rPr>
                <w:b w:val="0"/>
                <w:sz w:val="17"/>
              </w:rPr>
              <w:t>从已有实测文件生成图表和本报告。</w:t>
            </w:r>
          </w:p>
        </w:tc>
      </w:tr>
    </w:tbl>
    <w:p>
      <w:pPr>
        <w:spacing w:line="40" w:lineRule="exact" w:after="80"/>
      </w:pPr>
      <w:r>
        <w:rPr>
          <w:sz w:val="2"/>
        </w:rPr>
      </w:r>
    </w:p>
    <w:p>
      <w:r>
        <w:t>纯代码压缩包不包含论文 PDF、结果数组、模型权重、图片、DOCX、缓存或虚拟环境。它保留运行入口、依赖说明、测试、原文参照数值和文档生成代码，适合上传 GitHub。README 给出全流程命令与快速验证方式。</w:t>
      </w:r>
    </w:p>
    <w:p>
      <w:pPr>
        <w:pStyle w:val="Heading1"/>
        <w:pageBreakBefore/>
      </w:pPr>
      <w:r>
        <w:t>资料来源和结果边界</w:t>
      </w:r>
    </w:p>
    <w:p>
      <w:r>
        <w:t>[1] Yan, Y., Chen, F. (Y.), Fu, Z., &amp; Bi, W. (2026). Heuristics and deep reinforcement learning for the inventory problem with an all-or-nothing yield pattern and non-zero leadtimes. Computers &amp; Operations Research, 186, 107305. https://doi.org/10.1016/j.cor.2025.107305</w:t>
      </w:r>
    </w:p>
    <w:p>
      <w:r>
        <w:t>[2] 出版社论文页面。https://www.sciencedirect.com/science/article/pii/S030505482500334X 。模型、实验网格、网络结构及原文比较值以用户提供的 14 页正式论文为依据。论文在线发表时间为 2025 年 10 月，卷期年份为 2026 年。</w:t>
      </w:r>
    </w:p>
    <w:p>
      <w:r>
        <w:t>按标题、DOI、GDSH、WNH 和 GitHub 关键词检索，未找到可确认对应的作者公开代码仓库。这不代表代码不存在。论文数据声明为可应请求提供；本次未联系作者，也未把第三方或原文数值当作本次实验输出。源文件摘要及检索记录保存在 source_manifest.json。</w:t>
      </w:r>
    </w:p>
    <w:p>
      <w:pPr>
        <w:pStyle w:val="Heading1"/>
      </w:pPr>
      <w:r>
        <w:t>本次可以确认的内容</w:t>
      </w:r>
    </w:p>
    <w:p>
      <w:r>
        <w:t>论文的环境、四种策略结构、完整主参数网格、权重范围实验和主要附录数值扩展均已形成可执行 Python 实现，并实际完成模拟。每个报告数值均能追溯到参数、种子和测试轨迹成本。训练目标的聚合方式改变会影响结果，因此这是复查原文实现时应优先确认的细节。</w:t>
      </w:r>
    </w:p>
    <w:p>
      <w:pPr>
        <w:pStyle w:val="Heading1"/>
      </w:pPr>
      <w:r>
        <w:t>本次不能确认的内容</w:t>
      </w:r>
    </w:p>
    <w:p>
      <w:r>
        <w:t>小规模学习策略未达到原文报告的近最优差距。已有 DP 加密检查不足以解释该数量级的差异，但只覆盖 12 个代表性案例。输入缩放、初始化、固定或重采训练轨迹、GDSH 的可行域及优化器等均可能影响结果；在缺少作者代码时，不能把任意一项单独认定为原因。</w:t>
      </w:r>
    </w:p>
    <w:p>
      <w:r>
        <w:t>本次主计算使用 Python 3.11.14、PyTorch 2.5.1 和 CPU；DP 由独立 NumPy、SciPy 和 Numba 程序执行。原文报告 Python 3.11.4 和 PyTorch 1.13.1。运行库版本、浮点精度和并行方式亦记录在 execution_manifest.json，但未针对跨版本差异进行系统归因。</w:t>
      </w:r>
    </w:p>
    <w:p>
      <w:r>
        <w:t>如果将本报告用于课程汇报或后续研究，建议将结论表述为完整主实验的独立复现尝试及实现敏感性分析，同时展示未对齐的数量结果。获得作者程序后，可优先核对损失聚合、样本更新和 GDSH 的训练定义，再进行同种子、同环境的逐项比对。</w:t>
      </w:r>
    </w:p>
    <w:sectPr w:rsidR="00FC693F" w:rsidRPr="0006063C" w:rsidSect="00034616">
      <w:footerReference w:type="default" r:id="rId9"/>
      <w:pgSz w:w="11906" w:h="16838"/>
      <w:pgMar w:top="1077" w:right="1134" w:bottom="107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288" w:lineRule="auto" w:after="120"/>
      <w:ind w:firstLine="0"/>
    </w:pPr>
    <w:rPr>
      <w:rFonts w:ascii="Times New Roman" w:hAnsi="Times New Roman"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snapToGrid w:val="0"/>
    </w:pPr>
    <w:rPr>
      <w:rFonts w:ascii="Times New Roman" w:hAnsi="Times New Roman"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snapToGrid w:val="0"/>
    </w:pPr>
    <w:rPr>
      <w:rFonts w:ascii="Times New Roman" w:hAnsi="Times New Roman"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imes New Roman" w:hAnsi="Times New Roman" w:eastAsia="Noto Sans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imes New Roman" w:hAnsi="Times New Roman"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snapToGrid w:val="0"/>
    </w:pPr>
    <w:rPr>
      <w:rFonts w:ascii="Times New Roman" w:hAnsi="Times New Roman" w:eastAsia="Noto Sans CJK SC"/>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全有或全无随机产出库存问题 Python 实验复现报告</dc:title>
  <dc:subject>Yan et al. 2026 独立计算复现及结果检阅</dc:subject>
  <dc:creator>Python 复现实验</dc:creator>
  <cp:keywords/>
  <dc:description>generated by python-docx</dc:description>
  <cp:lastModifiedBy/>
  <cp:revision>1</cp:revision>
  <dcterms:created xsi:type="dcterms:W3CDTF">2013-12-23T23:15:00Z</dcterms:created>
  <dcterms:modified xsi:type="dcterms:W3CDTF">2013-12-23T23:15:00Z</dcterms:modified>
  <cp:category/>
</cp:coreProperties>
</file>