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人工智能算法定价与合谋</w:t>
      </w:r>
    </w:p>
    <w:p>
      <w:pPr>
        <w:pStyle w:val="Subtitle"/>
      </w:pPr>
      <w:r>
        <w:t>Python 实验复现与结果检阅</w:t>
      </w:r>
    </w:p>
    <w:p>
      <w:r>
        <w:t>复现对象  Calvano · Calzolari · Denicolò · Pastorello  |  AER 2020</w:t>
        <w:br/>
        <w:t>实验日期  2026 年 10 月 20 日</w:t>
      </w:r>
    </w:p>
    <w:p>
      <w:pPr>
        <w:pStyle w:val="Heading1"/>
      </w:pPr>
      <w:r>
        <w:t>主要结果</w:t>
      </w:r>
    </w:p>
    <w:p>
      <w:r>
        <w:t>基准双寡头模型的核心数量结果得到复现。1,000 个独立随机种子的平均利润增益 Δ 为 0.8490，原文表 1 为 0.849。算法收敛后的价格显著高于一次性伯特兰竞争价格；强制降价后，双方经历短暂价格战，再逐步回到原先的高价格区间。不过，单期偏离受到惩罚，并不等价于任意持续偏离都无利可图。本报告分别核算这两个问题。</w:t>
      </w:r>
    </w:p>
    <w:tbl>
      <w:tblPr>
        <w:tblW w:type="auto" w:w="0"/>
        <w:jc w:val="center"/>
        <w:tblLayout w:type="fixed"/>
        <w:tblLook w:firstColumn="1" w:firstRow="1" w:lastColumn="0" w:lastRow="0" w:noHBand="0" w:noVBand="1" w:val="04A0"/>
      </w:tblPr>
      <w:tblGrid>
        <w:gridCol w:w="3672"/>
        <w:gridCol w:w="2880"/>
        <w:gridCol w:w="3024"/>
      </w:tblGrid>
      <w:tr>
        <w:trPr>
          <w:cantSplit/>
          <w:tblHeader/>
        </w:trPr>
        <w:tc>
          <w:tcPr>
            <w:tcW w:type="dxa" w:w="3672"/>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left"/>
            </w:pPr>
            <w:r>
              <w:rPr>
                <w:b/>
                <w:sz w:val="18"/>
              </w:rPr>
              <w:t>指标</w:t>
            </w:r>
          </w:p>
        </w:tc>
        <w:tc>
          <w:tcPr>
            <w:tcW w:type="dxa" w:w="2880"/>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center"/>
            </w:pPr>
            <w:r>
              <w:rPr>
                <w:b/>
                <w:sz w:val="18"/>
              </w:rPr>
              <w:t>本次结果</w:t>
            </w:r>
          </w:p>
        </w:tc>
        <w:tc>
          <w:tcPr>
            <w:tcW w:type="dxa" w:w="3024"/>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center"/>
            </w:pPr>
            <w:r>
              <w:rPr>
                <w:b/>
                <w:sz w:val="18"/>
              </w:rPr>
              <w:t>原文或理论参照</w:t>
            </w:r>
          </w:p>
        </w:tc>
      </w:tr>
      <w:tr>
        <w:trPr>
          <w:cantSplit/>
        </w:trPr>
        <w:tc>
          <w:tcPr>
            <w:tcW w:type="dxa" w:w="367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平均利润增益 Δ</w:t>
            </w:r>
          </w:p>
        </w:tc>
        <w:tc>
          <w:tcPr>
            <w:tcW w:type="dxa" w:w="288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0.8490 ± 0.0070</w:t>
            </w:r>
          </w:p>
        </w:tc>
        <w:tc>
          <w:tcPr>
            <w:tcW w:type="dxa" w:w="302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0.849  原文表 1</w:t>
            </w:r>
          </w:p>
        </w:tc>
      </w:tr>
      <w:tr>
        <w:trPr>
          <w:cantSplit/>
        </w:trPr>
        <w:tc>
          <w:tcPr>
            <w:tcW w:type="dxa" w:w="367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长期平均价格</w:t>
            </w:r>
          </w:p>
        </w:tc>
        <w:tc>
          <w:tcPr>
            <w:tcW w:type="dxa" w:w="288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1.7928 ± 0.0044</w:t>
            </w:r>
          </w:p>
        </w:tc>
        <w:tc>
          <w:tcPr>
            <w:tcW w:type="dxa" w:w="302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约 1.79  原文图 4</w:t>
            </w:r>
          </w:p>
        </w:tc>
      </w:tr>
      <w:tr>
        <w:trPr>
          <w:cantSplit/>
        </w:trPr>
        <w:tc>
          <w:tcPr>
            <w:tcW w:type="dxa" w:w="367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静态纳什价格</w:t>
            </w:r>
          </w:p>
        </w:tc>
        <w:tc>
          <w:tcPr>
            <w:tcW w:type="dxa" w:w="288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1.47293</w:t>
            </w:r>
          </w:p>
        </w:tc>
        <w:tc>
          <w:tcPr>
            <w:tcW w:type="dxa" w:w="302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约 1.47</w:t>
            </w:r>
          </w:p>
        </w:tc>
      </w:tr>
      <w:tr>
        <w:trPr>
          <w:cantSplit/>
        </w:trPr>
        <w:tc>
          <w:tcPr>
            <w:tcW w:type="dxa" w:w="367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垄断价格</w:t>
            </w:r>
          </w:p>
        </w:tc>
        <w:tc>
          <w:tcPr>
            <w:tcW w:type="dxa" w:w="288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1.92498</w:t>
            </w:r>
          </w:p>
        </w:tc>
        <w:tc>
          <w:tcPr>
            <w:tcW w:type="dxa" w:w="302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约 1.92</w:t>
            </w:r>
          </w:p>
        </w:tc>
      </w:tr>
      <w:tr>
        <w:trPr>
          <w:cantSplit/>
        </w:trPr>
        <w:tc>
          <w:tcPr>
            <w:tcW w:type="dxa" w:w="367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恒定价格会话占比</w:t>
            </w:r>
          </w:p>
        </w:tc>
        <w:tc>
          <w:tcPr>
            <w:tcW w:type="dxa" w:w="288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62.4%</w:t>
            </w:r>
          </w:p>
        </w:tc>
        <w:tc>
          <w:tcPr>
            <w:tcW w:type="dxa" w:w="302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64.3%</w:t>
            </w:r>
          </w:p>
        </w:tc>
      </w:tr>
      <w:tr>
        <w:trPr>
          <w:cantSplit/>
        </w:trPr>
        <w:tc>
          <w:tcPr>
            <w:tcW w:type="dxa" w:w="367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基准收敛会话</w:t>
            </w:r>
          </w:p>
        </w:tc>
        <w:tc>
          <w:tcPr>
            <w:tcW w:type="dxa" w:w="288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1000/1,000</w:t>
            </w:r>
          </w:p>
        </w:tc>
        <w:tc>
          <w:tcPr>
            <w:tcW w:type="dxa" w:w="302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连续 100,000 期策略不变</w:t>
            </w:r>
          </w:p>
        </w:tc>
      </w:tr>
      <w:tr>
        <w:trPr>
          <w:cantSplit/>
        </w:trPr>
        <w:tc>
          <w:tcPr>
            <w:tcW w:type="dxa" w:w="367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单期最优降价后的折现收益变化</w:t>
            </w:r>
          </w:p>
        </w:tc>
        <w:tc>
          <w:tcPr>
            <w:tcW w:type="dxa" w:w="288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-2.82%</w:t>
            </w:r>
          </w:p>
        </w:tc>
        <w:tc>
          <w:tcPr>
            <w:tcW w:type="dxa" w:w="302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通常为负</w:t>
            </w:r>
          </w:p>
        </w:tc>
      </w:tr>
    </w:tbl>
    <w:p>
      <w:pPr>
        <w:spacing w:line="40" w:lineRule="exact" w:after="80"/>
      </w:pPr>
      <w:r>
        <w:rPr>
          <w:sz w:val="2"/>
        </w:rPr>
      </w:r>
    </w:p>
    <w:p>
      <w:r>
        <w:t>“±”表示跨独立会话均值的近似 95% 蒙特卡洛置信区间半宽，不表示原文估计的不确定性。Δ 的分母是垄断利润与静态纳什利润之差，Δ=0.849 不能解释为利润比竞争水平高 84.9%。</w:t>
      </w:r>
    </w:p>
    <w:p>
      <w:pPr>
        <w:pStyle w:val="Heading1"/>
      </w:pPr>
      <w:r>
        <w:t>阅读重点</w:t>
      </w:r>
    </w:p>
    <w:p>
      <w:r>
        <w:t>图 4 提供与截图同风格的价格冲击曲线，同时附正文定义下的替代版本。表 1 对照价格周期和收益分布；参数网格、折现因子、稳健性及重新配对结果在后文逐项报告。所有复现曲线均来自本次 Python 实际运行，未对原文曲线做拟合或手工调整。</w:t>
      </w:r>
    </w:p>
    <w:p>
      <w:r>
        <w:t>总计完成 25,700 次训练会话、约 73.19 十亿期互动。核心实验与原文保持相同的 1,000 次重复；参数扫描和稳健性实验采用较小的重复规模，具体见实验覆盖表。</w:t>
      </w:r>
    </w:p>
    <w:p>
      <w:pPr>
        <w:pStyle w:val="Heading1"/>
        <w:pageBreakBefore/>
      </w:pPr>
      <w:r>
        <w:t>模型和算法</w:t>
      </w:r>
    </w:p>
    <w:p>
      <w:r>
        <w:t>市场包含 n 家企业和一个外部选项。企业同时选择价格；每家企业只利用自己的利润、上一期价格状态和自己的 Q 表更新策略。企业之间没有显式通信，也未在奖励函数中加入合谋目标。[1]</w:t>
      </w:r>
    </w:p>
    <w:p>
      <w:r>
        <w:t>Logit 需求  qᵢ(p) = exp[(aᵢ − pᵢ)/μ] / {Σⱼ exp[(aⱼ − pⱼ)/μ] + exp(a₀/μ)}</w:t>
      </w:r>
    </w:p>
    <w:p>
      <w:r>
        <w:t>单期利润  πᵢ(p) = (pᵢ − cᵢ) qᵢ(p)</w:t>
      </w:r>
    </w:p>
    <w:p>
      <w:r>
        <w:t>Q 更新  Qᵢ(s,a) ← (1−α)Qᵢ(s,a) + α[πᵢ + δ maxₐ′ Qᵢ(s′,a′)]</w:t>
      </w:r>
    </w:p>
    <w:p>
      <w:r>
        <w:t>探索概率  εₜ = exp(−βt)；探索时从所有价格档位均匀抽样，否则选择 Q 值最大的价格；并列时选择最低价格。</w:t>
      </w:r>
    </w:p>
    <w:tbl>
      <w:tblPr>
        <w:tblW w:type="auto" w:w="0"/>
        <w:jc w:val="center"/>
        <w:tblLayout w:type="fixed"/>
        <w:tblLook w:firstColumn="1" w:firstRow="1" w:lastColumn="0" w:lastRow="0" w:noHBand="0" w:noVBand="1" w:val="04A0"/>
      </w:tblPr>
      <w:tblGrid>
        <w:gridCol w:w="1872"/>
        <w:gridCol w:w="2736"/>
        <w:gridCol w:w="4968"/>
      </w:tblGrid>
      <w:tr>
        <w:trPr>
          <w:cantSplit/>
          <w:tblHeader/>
        </w:trPr>
        <w:tc>
          <w:tcPr>
            <w:tcW w:type="dxa" w:w="1872"/>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left"/>
            </w:pPr>
            <w:r>
              <w:rPr>
                <w:b/>
                <w:sz w:val="18"/>
              </w:rPr>
              <w:t>参数</w:t>
            </w:r>
          </w:p>
        </w:tc>
        <w:tc>
          <w:tcPr>
            <w:tcW w:type="dxa" w:w="2736"/>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center"/>
            </w:pPr>
            <w:r>
              <w:rPr>
                <w:b/>
                <w:sz w:val="18"/>
              </w:rPr>
              <w:t>基准值</w:t>
            </w:r>
          </w:p>
        </w:tc>
        <w:tc>
          <w:tcPr>
            <w:tcW w:type="dxa" w:w="4968"/>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center"/>
            </w:pPr>
            <w:r>
              <w:rPr>
                <w:b/>
                <w:sz w:val="18"/>
              </w:rPr>
              <w:t>说明</w:t>
            </w:r>
          </w:p>
        </w:tc>
      </w:tr>
      <w:tr>
        <w:trPr>
          <w:cantSplit/>
        </w:trPr>
        <w:tc>
          <w:tcPr>
            <w:tcW w:type="dxa" w:w="187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n / k / m</w:t>
            </w:r>
          </w:p>
        </w:tc>
        <w:tc>
          <w:tcPr>
            <w:tcW w:type="dxa" w:w="273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2 / 1 / 15</w:t>
            </w:r>
          </w:p>
        </w:tc>
        <w:tc>
          <w:tcPr>
            <w:tcW w:type="dxa" w:w="496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企业数 / 记忆期数 / 价格档位</w:t>
            </w:r>
          </w:p>
        </w:tc>
      </w:tr>
      <w:tr>
        <w:trPr>
          <w:cantSplit/>
        </w:trPr>
        <w:tc>
          <w:tcPr>
            <w:tcW w:type="dxa" w:w="187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cᵢ / aᵢ / a₀</w:t>
            </w:r>
          </w:p>
        </w:tc>
        <w:tc>
          <w:tcPr>
            <w:tcW w:type="dxa" w:w="273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1 / 2 / 0</w:t>
            </w:r>
          </w:p>
        </w:tc>
        <w:tc>
          <w:tcPr>
            <w:tcW w:type="dxa" w:w="496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成本 / 产品质量 / 外部选项</w:t>
            </w:r>
          </w:p>
        </w:tc>
      </w:tr>
      <w:tr>
        <w:trPr>
          <w:cantSplit/>
        </w:trPr>
        <w:tc>
          <w:tcPr>
            <w:tcW w:type="dxa" w:w="187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μ / δ</w:t>
            </w:r>
          </w:p>
        </w:tc>
        <w:tc>
          <w:tcPr>
            <w:tcW w:type="dxa" w:w="273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0.25 / 0.95</w:t>
            </w:r>
          </w:p>
        </w:tc>
        <w:tc>
          <w:tcPr>
            <w:tcW w:type="dxa" w:w="496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产品差异 / 折现因子</w:t>
            </w:r>
          </w:p>
        </w:tc>
      </w:tr>
      <w:tr>
        <w:trPr>
          <w:cantSplit/>
        </w:trPr>
        <w:tc>
          <w:tcPr>
            <w:tcW w:type="dxa" w:w="187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α / β</w:t>
            </w:r>
          </w:p>
        </w:tc>
        <w:tc>
          <w:tcPr>
            <w:tcW w:type="dxa" w:w="273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0.15 / 4×10⁻⁶</w:t>
            </w:r>
          </w:p>
        </w:tc>
        <w:tc>
          <w:tcPr>
            <w:tcW w:type="dxa" w:w="496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学习率 / 探索衰减率</w:t>
            </w:r>
          </w:p>
        </w:tc>
      </w:tr>
      <w:tr>
        <w:trPr>
          <w:cantSplit/>
        </w:trPr>
        <w:tc>
          <w:tcPr>
            <w:tcW w:type="dxa" w:w="187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ξ</w:t>
            </w:r>
          </w:p>
        </w:tc>
        <w:tc>
          <w:tcPr>
            <w:tcW w:type="dxa" w:w="273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0.1</w:t>
            </w:r>
          </w:p>
        </w:tc>
        <w:tc>
          <w:tcPr>
            <w:tcW w:type="dxa" w:w="496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价格网格上下扩展系数</w:t>
            </w:r>
          </w:p>
        </w:tc>
      </w:tr>
      <w:tr>
        <w:trPr>
          <w:cantSplit/>
        </w:trPr>
        <w:tc>
          <w:tcPr>
            <w:tcW w:type="dxa" w:w="187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策略稳定窗口</w:t>
            </w:r>
          </w:p>
        </w:tc>
        <w:tc>
          <w:tcPr>
            <w:tcW w:type="dxa" w:w="273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100,000 期</w:t>
            </w:r>
          </w:p>
        </w:tc>
        <w:tc>
          <w:tcPr>
            <w:tcW w:type="dxa" w:w="496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每家企业在全部状态上的贪婪动作均不变</w:t>
            </w:r>
          </w:p>
        </w:tc>
      </w:tr>
      <w:tr>
        <w:trPr>
          <w:cantSplit/>
        </w:trPr>
        <w:tc>
          <w:tcPr>
            <w:tcW w:type="dxa" w:w="187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单次上限</w:t>
            </w:r>
          </w:p>
        </w:tc>
        <w:tc>
          <w:tcPr>
            <w:tcW w:type="dxa" w:w="273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1,000,000,000 期</w:t>
            </w:r>
          </w:p>
        </w:tc>
        <w:tc>
          <w:tcPr>
            <w:tcW w:type="dxa" w:w="496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达到上限但未稳定时标记为未收敛</w:t>
            </w:r>
          </w:p>
        </w:tc>
      </w:tr>
    </w:tbl>
    <w:p>
      <w:pPr>
        <w:spacing w:line="40" w:lineRule="exact" w:after="80"/>
      </w:pPr>
      <w:r>
        <w:rPr>
          <w:sz w:val="2"/>
        </w:rPr>
      </w:r>
    </w:p>
    <w:p>
      <w:r>
        <w:t>价格网格严格按原文区间 [pᴺ−ξ(pᴹ−pᴺ), pᴹ+ξ(pᴹ−pᴺ)] 取 15 个等距点，范围为 [1.427721, 1.970186]。连续纳什价及垄断价均不要求落在网格节点上。</w:t>
      </w:r>
    </w:p>
    <w:p>
      <w:r>
        <w:t>Q 表初始化为：对手独立均匀随机定价时，该动作的期望利润除以 (1−δ)。初始状态均匀随机。基准每家企业有 225 个状态、3,375 个状态动作单元。每期先计算双方更新目标，再同步更新，以免自环状态下引入先后更新偏差。</w:t>
      </w:r>
    </w:p>
    <w:p>
      <w:pPr>
        <w:pStyle w:val="Heading1"/>
        <w:pageBreakBefore/>
      </w:pPr>
      <w:r>
        <w:t>实验覆盖和复现口径</w:t>
      </w:r>
    </w:p>
    <w:tbl>
      <w:tblPr>
        <w:tblW w:type="auto" w:w="0"/>
        <w:jc w:val="center"/>
        <w:tblLayout w:type="fixed"/>
        <w:tblLook w:firstColumn="1" w:firstRow="1" w:lastColumn="0" w:lastRow="0" w:noHBand="0" w:noVBand="1" w:val="04A0"/>
      </w:tblPr>
      <w:tblGrid>
        <w:gridCol w:w="2376"/>
        <w:gridCol w:w="2952"/>
        <w:gridCol w:w="4248"/>
      </w:tblGrid>
      <w:tr>
        <w:trPr>
          <w:cantSplit/>
          <w:tblHeader/>
        </w:trPr>
        <w:tc>
          <w:tcPr>
            <w:tcW w:type="dxa" w:w="2376"/>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left"/>
            </w:pPr>
            <w:r>
              <w:rPr>
                <w:b/>
                <w:sz w:val="18"/>
              </w:rPr>
              <w:t>实验</w:t>
            </w:r>
          </w:p>
        </w:tc>
        <w:tc>
          <w:tcPr>
            <w:tcW w:type="dxa" w:w="2952"/>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center"/>
            </w:pPr>
            <w:r>
              <w:rPr>
                <w:b/>
                <w:sz w:val="18"/>
              </w:rPr>
              <w:t>本次规模</w:t>
            </w:r>
          </w:p>
        </w:tc>
        <w:tc>
          <w:tcPr>
            <w:tcW w:type="dxa" w:w="4248"/>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center"/>
            </w:pPr>
            <w:r>
              <w:rPr>
                <w:b/>
                <w:sz w:val="18"/>
              </w:rPr>
              <w:t>与原文关系</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基准及图 4–6、8–11</w:t>
            </w:r>
          </w:p>
        </w:tc>
        <w:tc>
          <w:tcPr>
            <w:tcW w:type="dxa" w:w="295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1,000 个种子</w:t>
            </w:r>
          </w:p>
        </w:tc>
        <w:tc>
          <w:tcPr>
            <w:tcW w:type="dxa" w:w="424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基准重复次数一致</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α 与 β 参数扫描</w:t>
            </w:r>
          </w:p>
        </w:tc>
        <w:tc>
          <w:tcPr>
            <w:tcW w:type="dxa" w:w="295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11×11 点，每点 100 次</w:t>
            </w:r>
          </w:p>
        </w:tc>
        <w:tc>
          <w:tcPr>
            <w:tcW w:type="dxa" w:w="424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原文为 100×100 点，每点 1,000 次</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折现因子</w:t>
            </w:r>
          </w:p>
        </w:tc>
        <w:tc>
          <w:tcPr>
            <w:tcW w:type="dxa" w:w="295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21 个取值，每点 200 次</w:t>
            </w:r>
          </w:p>
        </w:tc>
        <w:tc>
          <w:tcPr>
            <w:tcW w:type="dxa" w:w="424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覆盖 0 至 0.99；采样密度及重复次数缩减</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无记忆对照</w:t>
            </w:r>
          </w:p>
        </w:tc>
        <w:tc>
          <w:tcPr>
            <w:tcW w:type="dxa" w:w="295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200 次</w:t>
            </w:r>
          </w:p>
        </w:tc>
        <w:tc>
          <w:tcPr>
            <w:tcW w:type="dxa" w:w="424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k=0，δ=0，α=0.25，β=10⁻⁴</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稳健性</w:t>
            </w:r>
          </w:p>
        </w:tc>
        <w:tc>
          <w:tcPr>
            <w:tcW w:type="dxa" w:w="295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36 组，每组 200 次</w:t>
            </w:r>
          </w:p>
        </w:tc>
        <w:tc>
          <w:tcPr>
            <w:tcW w:type="dxa" w:w="424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成本、质量、企业数、需求扰动、μ、初始化、价格集、记忆</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需求基准口径追加检验</w:t>
            </w:r>
          </w:p>
        </w:tc>
        <w:tc>
          <w:tcPr>
            <w:tcW w:type="dxa" w:w="295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5 组，每组 200 次</w:t>
            </w:r>
          </w:p>
        </w:tc>
        <w:tc>
          <w:tcPr>
            <w:tcW w:type="dxa" w:w="424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保留无冲击基准的替代定义，与期望基准并列</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重新配对</w:t>
            </w:r>
          </w:p>
        </w:tc>
        <w:tc>
          <w:tcPr>
            <w:tcW w:type="dxa" w:w="295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1,000 对，各 40,000 期</w:t>
            </w:r>
          </w:p>
        </w:tc>
        <w:tc>
          <w:tcPr>
            <w:tcW w:type="dxa" w:w="424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关闭探索，继续更新 Q 表</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未执行的扩展</w:t>
            </w:r>
          </w:p>
        </w:tc>
        <w:tc>
          <w:tcPr>
            <w:tcW w:type="dxa" w:w="295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见后文边界说明</w:t>
            </w:r>
          </w:p>
        </w:tc>
        <w:tc>
          <w:tcPr>
            <w:tcW w:type="dxa" w:w="424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不作为已复现结果</w:t>
            </w:r>
          </w:p>
        </w:tc>
      </w:tr>
    </w:tbl>
    <w:p>
      <w:pPr>
        <w:spacing w:line="40" w:lineRule="exact" w:after="80"/>
      </w:pPr>
      <w:r>
        <w:rPr>
          <w:sz w:val="2"/>
        </w:rPr>
      </w:r>
    </w:p>
    <w:p>
      <w:r>
        <w:t>每个种子对应一个独立训练会话。先从收敛策略构造确定性状态转移图，找到训练末态最终进入的周期，再计算周期上的平均利润和价格。冲击实验从周期的每个相位出发，先在会话内部平均，再对会话等权平均，避免长周期会话获得更高权重。</w:t>
      </w:r>
    </w:p>
    <w:p>
      <w:r>
        <w:t>参数网格 α∈[0.025,0.25]，β∈[0.2×10⁻⁶,2×10⁻⁵]，均等距取 11 点。图中只显示已执行的格点，不进行平滑插值；因此热力图比原文粗糙是预期现象。</w:t>
      </w:r>
    </w:p>
    <w:p>
      <w:r>
        <w:t>置信区间以独立会话为抽样单位。种子、参数、每次迭代数、收敛标志、最终周期及收益均保存在 JSON/CSV 中；基准 1,000 次实验还保留完整 Q 表、策略和学习轨迹。</w:t>
      </w:r>
    </w:p>
    <w:p>
      <w:r>
        <w:t>作者正式复现包的 DOI 已核实，但下载页面返回 HTTP 403，因此本项目属于基于正文、作者补充材料和公开代码审阅的独立重实现，不是作者原程序的逐行翻译。[1–3] 公开 Python 示例的价格端点、初始状态和稳定计数与正文存在差别，本项目按正文处理。</w:t>
      </w:r>
    </w:p>
    <w:p>
      <w:r>
        <w:t>对于需求冲击，本实现用对随机需求取期望后的利润函数计算连续纳什和垄断基准，企业不预先观察当期冲击。非对称企业使用各自的纳什价与联合利润最大化价格构造各自价格网格。这些实现约定在代码中固定并可检阅。</w:t>
      </w:r>
    </w:p>
    <w:p>
      <w:pPr>
        <w:pStyle w:val="Heading1"/>
        <w:pageBreakBefore/>
      </w:pPr>
      <w:r>
        <w:t>图 4 与截图一致的价格冲击展示</w:t>
      </w:r>
    </w:p>
    <w:p>
      <w:pPr>
        <w:keepNext/>
        <w:spacing w:after="40"/>
        <w:jc w:val="center"/>
      </w:pPr>
      <w:r>
        <w:drawing>
          <wp:inline xmlns:a="http://schemas.openxmlformats.org/drawingml/2006/main" xmlns:pic="http://schemas.openxmlformats.org/drawingml/2006/picture">
            <wp:extent cx="5074920" cy="3041814"/>
            <wp:docPr id="1" name="Picture 1"/>
            <wp:cNvGraphicFramePr>
              <a:graphicFrameLocks noChangeAspect="1"/>
            </wp:cNvGraphicFramePr>
            <a:graphic>
              <a:graphicData uri="http://schemas.openxmlformats.org/drawingml/2006/picture">
                <pic:pic>
                  <pic:nvPicPr>
                    <pic:cNvPr id="0" name="figure04.png"/>
                    <pic:cNvPicPr/>
                  </pic:nvPicPr>
                  <pic:blipFill>
                    <a:blip r:embed="rId10"/>
                    <a:stretch>
                      <a:fillRect/>
                    </a:stretch>
                  </pic:blipFill>
                  <pic:spPr>
                    <a:xfrm>
                      <a:off x="0" y="0"/>
                      <a:ext cx="5074920" cy="3041814"/>
                    </a:xfrm>
                    <a:prstGeom prst="rect"/>
                  </pic:spPr>
                </pic:pic>
              </a:graphicData>
            </a:graphic>
          </wp:inline>
        </w:drawing>
      </w:r>
    </w:p>
    <w:p>
      <w:pPr>
        <w:pStyle w:val="Caption"/>
      </w:pPr>
      <w:r>
        <w:t>图 4  每个会话中强制企业 1 在第 1 期选择第 3 个价格档位 1.505216，此后恢复原策略。1,000 次会话等权平均。</w:t>
      </w:r>
    </w:p>
    <w:p>
      <w:r>
        <w:t>基准长期价格为 1.7928。固定档位降价后的第 2 期，偏离者和非偏离者平均价格分别为 1.5593 和 1.5445，随后逐步恢复。该冲击平均改变偏离者折现收益 -3.24%，周期相位平均的不盈利比例为 97.69%。</w:t>
      </w:r>
    </w:p>
    <w:p>
      <w:pPr>
        <w:keepNext/>
        <w:spacing w:after="40"/>
        <w:jc w:val="center"/>
      </w:pPr>
      <w:r>
        <w:drawing>
          <wp:inline xmlns:a="http://schemas.openxmlformats.org/drawingml/2006/main" xmlns:pic="http://schemas.openxmlformats.org/drawingml/2006/picture">
            <wp:extent cx="4617720" cy="2767777"/>
            <wp:docPr id="2" name="Picture 2"/>
            <wp:cNvGraphicFramePr>
              <a:graphicFrameLocks noChangeAspect="1"/>
            </wp:cNvGraphicFramePr>
            <a:graphic>
              <a:graphicData uri="http://schemas.openxmlformats.org/drawingml/2006/picture">
                <pic:pic>
                  <pic:nvPicPr>
                    <pic:cNvPr id="0" name="figure04_literal.png"/>
                    <pic:cNvPicPr/>
                  </pic:nvPicPr>
                  <pic:blipFill>
                    <a:blip r:embed="rId11"/>
                    <a:stretch>
                      <a:fillRect/>
                    </a:stretch>
                  </pic:blipFill>
                  <pic:spPr>
                    <a:xfrm>
                      <a:off x="0" y="0"/>
                      <a:ext cx="4617720" cy="2767777"/>
                    </a:xfrm>
                    <a:prstGeom prst="rect"/>
                  </pic:spPr>
                </pic:pic>
              </a:graphicData>
            </a:graphic>
          </wp:inline>
        </w:drawing>
      </w:r>
    </w:p>
    <w:p>
      <w:pPr>
        <w:pStyle w:val="Caption"/>
      </w:pPr>
      <w:r>
        <w:t>替代图 4  严格按正文脚注 30，以对手冲击前价格计算网格内静态最优回应。除冲击价格规则外，训练结果和统计权重均相同。</w:t>
      </w:r>
    </w:p>
    <w:p>
      <w:r>
        <w:t>原图第 1 期价格约 1.505，而正文的静态最优回应在本模型下平均约 1.61。上图采用可明确说明、与截图接近的固定档位冲击；下图保留正文定义。两者不能当作完全相同的实验，也未据图形外观反向调整训练参数。</w:t>
      </w:r>
    </w:p>
    <w:p>
      <w:pPr>
        <w:pStyle w:val="Heading1"/>
        <w:pageBreakBefore/>
      </w:pPr>
      <w:r>
        <w:t>基准分布和最优性诊断</w:t>
      </w:r>
    </w:p>
    <w:p>
      <w:r>
        <w:t>表 1 按最终价格周期分组。1-Sym. 为双方收敛至相同恒定价格，1-Asym. 为不同恒定价格。完全对称的企业仍可能形成不对称价格或周期，这源于各自随机探索历史不同。</w:t>
      </w:r>
    </w:p>
    <w:tbl>
      <w:tblPr>
        <w:tblW w:type="auto" w:w="0"/>
        <w:jc w:val="center"/>
        <w:tblLayout w:type="fixed"/>
        <w:tblLook w:firstColumn="1" w:firstRow="1" w:lastColumn="0" w:lastRow="0" w:noHBand="0" w:noVBand="1" w:val="04A0"/>
      </w:tblPr>
      <w:tblGrid>
        <w:gridCol w:w="1656"/>
        <w:gridCol w:w="1944"/>
        <w:gridCol w:w="1944"/>
        <w:gridCol w:w="2016"/>
        <w:gridCol w:w="2016"/>
      </w:tblGrid>
      <w:tr>
        <w:trPr>
          <w:cantSplit/>
          <w:tblHeader/>
        </w:trPr>
        <w:tc>
          <w:tcPr>
            <w:tcW w:type="dxa" w:w="1656"/>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left"/>
            </w:pPr>
            <w:r>
              <w:rPr>
                <w:b/>
                <w:sz w:val="18"/>
              </w:rPr>
              <w:t>类别</w:t>
            </w:r>
          </w:p>
        </w:tc>
        <w:tc>
          <w:tcPr>
            <w:tcW w:type="dxa" w:w="1944"/>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center"/>
            </w:pPr>
            <w:r>
              <w:rPr>
                <w:b/>
                <w:sz w:val="18"/>
              </w:rPr>
              <w:t>本次频率</w:t>
            </w:r>
          </w:p>
        </w:tc>
        <w:tc>
          <w:tcPr>
            <w:tcW w:type="dxa" w:w="1944"/>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center"/>
            </w:pPr>
            <w:r>
              <w:rPr>
                <w:b/>
                <w:sz w:val="18"/>
              </w:rPr>
              <w:t>原文频率</w:t>
            </w:r>
          </w:p>
        </w:tc>
        <w:tc>
          <w:tcPr>
            <w:tcW w:type="dxa" w:w="2016"/>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center"/>
            </w:pPr>
            <w:r>
              <w:rPr>
                <w:b/>
                <w:sz w:val="18"/>
              </w:rPr>
              <w:t>本次 Δ</w:t>
            </w:r>
          </w:p>
        </w:tc>
        <w:tc>
          <w:tcPr>
            <w:tcW w:type="dxa" w:w="2016"/>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center"/>
            </w:pPr>
            <w:r>
              <w:rPr>
                <w:b/>
                <w:sz w:val="18"/>
              </w:rPr>
              <w:t>原文 Δ</w:t>
            </w:r>
          </w:p>
        </w:tc>
      </w:tr>
      <w:tr>
        <w:trPr>
          <w:cantSplit/>
        </w:trPr>
        <w:tc>
          <w:tcPr>
            <w:tcW w:type="dxa" w:w="165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1-Sym.</w:t>
            </w:r>
          </w:p>
        </w:tc>
        <w:tc>
          <w:tcPr>
            <w:tcW w:type="dxa" w:w="194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0.273</w:t>
            </w:r>
          </w:p>
        </w:tc>
        <w:tc>
          <w:tcPr>
            <w:tcW w:type="dxa" w:w="194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0.277</w:t>
            </w:r>
          </w:p>
        </w:tc>
        <w:tc>
          <w:tcPr>
            <w:tcW w:type="dxa" w:w="201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0.861</w:t>
            </w:r>
          </w:p>
        </w:tc>
        <w:tc>
          <w:tcPr>
            <w:tcW w:type="dxa" w:w="201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0.866</w:t>
            </w:r>
          </w:p>
        </w:tc>
      </w:tr>
      <w:tr>
        <w:trPr>
          <w:cantSplit/>
        </w:trPr>
        <w:tc>
          <w:tcPr>
            <w:tcW w:type="dxa" w:w="165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1-Asym.</w:t>
            </w:r>
          </w:p>
        </w:tc>
        <w:tc>
          <w:tcPr>
            <w:tcW w:type="dxa" w:w="194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0.351</w:t>
            </w:r>
          </w:p>
        </w:tc>
        <w:tc>
          <w:tcPr>
            <w:tcW w:type="dxa" w:w="194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0.366</w:t>
            </w:r>
          </w:p>
        </w:tc>
        <w:tc>
          <w:tcPr>
            <w:tcW w:type="dxa" w:w="201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0.866</w:t>
            </w:r>
          </w:p>
        </w:tc>
        <w:tc>
          <w:tcPr>
            <w:tcW w:type="dxa" w:w="201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0.855</w:t>
            </w:r>
          </w:p>
        </w:tc>
      </w:tr>
      <w:tr>
        <w:trPr>
          <w:cantSplit/>
        </w:trPr>
        <w:tc>
          <w:tcPr>
            <w:tcW w:type="dxa" w:w="165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1</w:t>
            </w:r>
          </w:p>
        </w:tc>
        <w:tc>
          <w:tcPr>
            <w:tcW w:type="dxa" w:w="194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0.624</w:t>
            </w:r>
          </w:p>
        </w:tc>
        <w:tc>
          <w:tcPr>
            <w:tcW w:type="dxa" w:w="194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0.643</w:t>
            </w:r>
          </w:p>
        </w:tc>
        <w:tc>
          <w:tcPr>
            <w:tcW w:type="dxa" w:w="201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0.864</w:t>
            </w:r>
          </w:p>
        </w:tc>
        <w:tc>
          <w:tcPr>
            <w:tcW w:type="dxa" w:w="201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0.86</w:t>
            </w:r>
          </w:p>
        </w:tc>
      </w:tr>
      <w:tr>
        <w:trPr>
          <w:cantSplit/>
        </w:trPr>
        <w:tc>
          <w:tcPr>
            <w:tcW w:type="dxa" w:w="165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2</w:t>
            </w:r>
          </w:p>
        </w:tc>
        <w:tc>
          <w:tcPr>
            <w:tcW w:type="dxa" w:w="194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0.254</w:t>
            </w:r>
          </w:p>
        </w:tc>
        <w:tc>
          <w:tcPr>
            <w:tcW w:type="dxa" w:w="194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0.238</w:t>
            </w:r>
          </w:p>
        </w:tc>
        <w:tc>
          <w:tcPr>
            <w:tcW w:type="dxa" w:w="201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0.835</w:t>
            </w:r>
          </w:p>
        </w:tc>
        <w:tc>
          <w:tcPr>
            <w:tcW w:type="dxa" w:w="201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0.846</w:t>
            </w:r>
          </w:p>
        </w:tc>
      </w:tr>
      <w:tr>
        <w:trPr>
          <w:cantSplit/>
        </w:trPr>
        <w:tc>
          <w:tcPr>
            <w:tcW w:type="dxa" w:w="165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&gt;=3</w:t>
            </w:r>
          </w:p>
        </w:tc>
        <w:tc>
          <w:tcPr>
            <w:tcW w:type="dxa" w:w="194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0.122</w:t>
            </w:r>
          </w:p>
        </w:tc>
        <w:tc>
          <w:tcPr>
            <w:tcW w:type="dxa" w:w="194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0.119</w:t>
            </w:r>
          </w:p>
        </w:tc>
        <w:tc>
          <w:tcPr>
            <w:tcW w:type="dxa" w:w="201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0.801</w:t>
            </w:r>
          </w:p>
        </w:tc>
        <w:tc>
          <w:tcPr>
            <w:tcW w:type="dxa" w:w="201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0.793</w:t>
            </w:r>
          </w:p>
        </w:tc>
      </w:tr>
      <w:tr>
        <w:trPr>
          <w:cantSplit/>
        </w:trPr>
        <w:tc>
          <w:tcPr>
            <w:tcW w:type="dxa" w:w="165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All</w:t>
            </w:r>
          </w:p>
        </w:tc>
        <w:tc>
          <w:tcPr>
            <w:tcW w:type="dxa" w:w="194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1.000</w:t>
            </w:r>
          </w:p>
        </w:tc>
        <w:tc>
          <w:tcPr>
            <w:tcW w:type="dxa" w:w="194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1</w:t>
            </w:r>
          </w:p>
        </w:tc>
        <w:tc>
          <w:tcPr>
            <w:tcW w:type="dxa" w:w="201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0.849</w:t>
            </w:r>
          </w:p>
        </w:tc>
        <w:tc>
          <w:tcPr>
            <w:tcW w:type="dxa" w:w="201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0.849</w:t>
            </w:r>
          </w:p>
        </w:tc>
      </w:tr>
    </w:tbl>
    <w:p>
      <w:pPr>
        <w:spacing w:line="40" w:lineRule="exact" w:after="80"/>
      </w:pPr>
      <w:r>
        <w:rPr>
          <w:sz w:val="2"/>
        </w:rPr>
      </w:r>
    </w:p>
    <w:p>
      <w:r>
        <w:t>收益均值与原文高度接近；周期构成的差异应结合 1,000 次会话的抽样误差解读。均值接近并不意味着每个随机种子或每条路径与作者结果相同。</w:t>
      </w:r>
    </w:p>
    <w:tbl>
      <w:tblPr>
        <w:tblW w:type="auto" w:w="0"/>
        <w:jc w:val="center"/>
        <w:tblLayout w:type="fixed"/>
        <w:tblLook w:firstColumn="1" w:firstRow="1" w:lastColumn="0" w:lastRow="0" w:noHBand="0" w:noVBand="1" w:val="04A0"/>
      </w:tblPr>
      <w:tblGrid>
        <w:gridCol w:w="5400"/>
        <w:gridCol w:w="2088"/>
        <w:gridCol w:w="2088"/>
      </w:tblGrid>
      <w:tr>
        <w:trPr>
          <w:cantSplit/>
          <w:tblHeader/>
        </w:trPr>
        <w:tc>
          <w:tcPr>
            <w:tcW w:type="dxa" w:w="5400"/>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left"/>
            </w:pPr>
            <w:r>
              <w:rPr>
                <w:b/>
                <w:sz w:val="18"/>
              </w:rPr>
              <w:t>最优性口径</w:t>
            </w:r>
          </w:p>
        </w:tc>
        <w:tc>
          <w:tcPr>
            <w:tcW w:type="dxa" w:w="2088"/>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center"/>
            </w:pPr>
            <w:r>
              <w:rPr>
                <w:b/>
                <w:sz w:val="18"/>
              </w:rPr>
              <w:t>本次</w:t>
            </w:r>
          </w:p>
        </w:tc>
        <w:tc>
          <w:tcPr>
            <w:tcW w:type="dxa" w:w="2088"/>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center"/>
            </w:pPr>
            <w:r>
              <w:rPr>
                <w:b/>
                <w:sz w:val="18"/>
              </w:rPr>
              <w:t>原文表 1</w:t>
            </w:r>
          </w:p>
        </w:tc>
      </w:tr>
      <w:tr>
        <w:trPr>
          <w:cantSplit/>
        </w:trPr>
        <w:tc>
          <w:tcPr>
            <w:tcW w:type="dxa" w:w="540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一期偏离后恢复原策略  路径上稳定比例</w:t>
            </w:r>
          </w:p>
        </w:tc>
        <w:tc>
          <w:tcPr>
            <w:tcW w:type="dxa" w:w="208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47.7%</w:t>
            </w:r>
          </w:p>
        </w:tc>
        <w:tc>
          <w:tcPr>
            <w:tcW w:type="dxa" w:w="208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50.5%</w:t>
            </w:r>
          </w:p>
        </w:tc>
      </w:tr>
      <w:tr>
        <w:trPr>
          <w:cantSplit/>
        </w:trPr>
        <w:tc>
          <w:tcPr>
            <w:tcW w:type="dxa" w:w="540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上述口径  路径上平均 Q 损失</w:t>
            </w:r>
          </w:p>
        </w:tc>
        <w:tc>
          <w:tcPr>
            <w:tcW w:type="dxa" w:w="208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0.160%</w:t>
            </w:r>
          </w:p>
        </w:tc>
        <w:tc>
          <w:tcPr>
            <w:tcW w:type="dxa" w:w="208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0.2%</w:t>
            </w:r>
          </w:p>
        </w:tc>
      </w:tr>
      <w:tr>
        <w:trPr>
          <w:cantSplit/>
        </w:trPr>
        <w:tc>
          <w:tcPr>
            <w:tcW w:type="dxa" w:w="540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上述口径  全状态平均 Q 损失</w:t>
            </w:r>
          </w:p>
        </w:tc>
        <w:tc>
          <w:tcPr>
            <w:tcW w:type="dxa" w:w="208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1.800%</w:t>
            </w:r>
          </w:p>
        </w:tc>
        <w:tc>
          <w:tcPr>
            <w:tcW w:type="dxa" w:w="208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1.8%</w:t>
            </w:r>
          </w:p>
        </w:tc>
      </w:tr>
      <w:tr>
        <w:trPr>
          <w:cantSplit/>
        </w:trPr>
        <w:tc>
          <w:tcPr>
            <w:tcW w:type="dxa" w:w="540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持续动态最优回应  路径上均衡比例</w:t>
            </w:r>
          </w:p>
        </w:tc>
        <w:tc>
          <w:tcPr>
            <w:tcW w:type="dxa" w:w="208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0.2%</w:t>
            </w:r>
          </w:p>
        </w:tc>
        <w:tc>
          <w:tcPr>
            <w:tcW w:type="dxa" w:w="208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无完全同口径直接值</w:t>
            </w:r>
          </w:p>
        </w:tc>
      </w:tr>
      <w:tr>
        <w:trPr>
          <w:cantSplit/>
        </w:trPr>
        <w:tc>
          <w:tcPr>
            <w:tcW w:type="dxa" w:w="540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持续动态最优回应  相对最优价值损失</w:t>
            </w:r>
          </w:p>
        </w:tc>
        <w:tc>
          <w:tcPr>
            <w:tcW w:type="dxa" w:w="208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12.99%</w:t>
            </w:r>
          </w:p>
        </w:tc>
        <w:tc>
          <w:tcPr>
            <w:tcW w:type="dxa" w:w="208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无完全同口径直接值</w:t>
            </w:r>
          </w:p>
        </w:tc>
      </w:tr>
    </w:tbl>
    <w:p>
      <w:pPr>
        <w:spacing w:line="40" w:lineRule="exact" w:after="80"/>
      </w:pPr>
      <w:r>
        <w:rPr>
          <w:sz w:val="2"/>
        </w:rPr>
      </w:r>
    </w:p>
    <w:p>
      <w:r>
        <w:t>一期口径先计算双方继续使用已学策略的价值 Vᶠ，再计算 Q¹(s,a)=π(s,a)+δVᶠ(s′)。其结果与原文表 1 的数量级接近；由于未取得作者程序，这只能作为可比诊断，不能证明原文内部实现完全相同。</w:t>
      </w:r>
    </w:p>
    <w:p>
      <w:r>
        <w:t>持续偏离则固定对手策略，对偏离者求解 Bellman 最优方程 V*(s)=maxₐ[π(s,a)+δV*(s′)]。本次严格路径上最优性比例明显低于一期口径。只检查均衡路径上的一期偏离，不能排除先进入路径外状态、随后继续改变动作的获利策略。因此本报告将高价格与短期惩罚视为已复现现象，不把它们直接等同于严格均衡证明。</w:t>
      </w:r>
    </w:p>
    <w:p>
      <w:pPr>
        <w:pStyle w:val="Heading1"/>
        <w:pageBreakBefore/>
      </w:pPr>
      <w:r>
        <w:t>参数网格中的收益和策略稳定性</w:t>
      </w:r>
    </w:p>
    <w:p>
      <w:pPr>
        <w:jc w:val="center"/>
      </w:pPr>
      <w:r>
        <w:drawing>
          <wp:inline xmlns:a="http://schemas.openxmlformats.org/drawingml/2006/main" xmlns:pic="http://schemas.openxmlformats.org/drawingml/2006/picture">
            <wp:extent cx="2651760" cy="1891067"/>
            <wp:docPr id="3" name="Picture 3"/>
            <wp:cNvGraphicFramePr>
              <a:graphicFrameLocks noChangeAspect="1"/>
            </wp:cNvGraphicFramePr>
            <a:graphic>
              <a:graphicData uri="http://schemas.openxmlformats.org/drawingml/2006/picture">
                <pic:pic>
                  <pic:nvPicPr>
                    <pic:cNvPr id="0" name="figure01.png"/>
                    <pic:cNvPicPr/>
                  </pic:nvPicPr>
                  <pic:blipFill>
                    <a:blip r:embed="rId12"/>
                    <a:stretch>
                      <a:fillRect/>
                    </a:stretch>
                  </pic:blipFill>
                  <pic:spPr>
                    <a:xfrm>
                      <a:off x="0" y="0"/>
                      <a:ext cx="2651760" cy="1891067"/>
                    </a:xfrm>
                    <a:prstGeom prst="rect"/>
                  </pic:spPr>
                </pic:pic>
              </a:graphicData>
            </a:graphic>
          </wp:inline>
        </w:drawing>
      </w:r>
      <w:r>
        <w:t xml:space="preserve">  </w:t>
      </w:r>
      <w:r>
        <w:drawing>
          <wp:inline xmlns:a="http://schemas.openxmlformats.org/drawingml/2006/main" xmlns:pic="http://schemas.openxmlformats.org/drawingml/2006/picture">
            <wp:extent cx="2651760" cy="1918847"/>
            <wp:docPr id="4" name="Picture 4"/>
            <wp:cNvGraphicFramePr>
              <a:graphicFrameLocks noChangeAspect="1"/>
            </wp:cNvGraphicFramePr>
            <a:graphic>
              <a:graphicData uri="http://schemas.openxmlformats.org/drawingml/2006/picture">
                <pic:pic>
                  <pic:nvPicPr>
                    <pic:cNvPr id="0" name="figure02.png"/>
                    <pic:cNvPicPr/>
                  </pic:nvPicPr>
                  <pic:blipFill>
                    <a:blip r:embed="rId13"/>
                    <a:stretch>
                      <a:fillRect/>
                    </a:stretch>
                  </pic:blipFill>
                  <pic:spPr>
                    <a:xfrm>
                      <a:off x="0" y="0"/>
                      <a:ext cx="2651760" cy="1918847"/>
                    </a:xfrm>
                    <a:prstGeom prst="rect"/>
                  </pic:spPr>
                </pic:pic>
              </a:graphicData>
            </a:graphic>
          </wp:inline>
        </w:drawing>
      </w:r>
    </w:p>
    <w:p>
      <w:pPr>
        <w:pStyle w:val="Caption"/>
      </w:pPr>
      <w:r>
        <w:t>左图对应原文图 1；右图对应图 2 的一期偏离诊断。每个格点 100 次训练。图 2 的标题明确采用一期偏离稳定性，避免与持续动态最优回应混淆。</w:t>
      </w:r>
    </w:p>
    <w:p>
      <w:pPr>
        <w:jc w:val="center"/>
      </w:pPr>
      <w:r>
        <w:drawing>
          <wp:inline xmlns:a="http://schemas.openxmlformats.org/drawingml/2006/main" xmlns:pic="http://schemas.openxmlformats.org/drawingml/2006/picture">
            <wp:extent cx="2651760" cy="1864081"/>
            <wp:docPr id="5" name="Picture 5"/>
            <wp:cNvGraphicFramePr>
              <a:graphicFrameLocks noChangeAspect="1"/>
            </wp:cNvGraphicFramePr>
            <a:graphic>
              <a:graphicData uri="http://schemas.openxmlformats.org/drawingml/2006/picture">
                <pic:pic>
                  <pic:nvPicPr>
                    <pic:cNvPr id="0" name="figure07.png"/>
                    <pic:cNvPicPr/>
                  </pic:nvPicPr>
                  <pic:blipFill>
                    <a:blip r:embed="rId14"/>
                    <a:stretch>
                      <a:fillRect/>
                    </a:stretch>
                  </pic:blipFill>
                  <pic:spPr>
                    <a:xfrm>
                      <a:off x="0" y="0"/>
                      <a:ext cx="2651760" cy="1864081"/>
                    </a:xfrm>
                    <a:prstGeom prst="rect"/>
                  </pic:spPr>
                </pic:pic>
              </a:graphicData>
            </a:graphic>
          </wp:inline>
        </w:drawing>
      </w:r>
      <w:r>
        <w:t xml:space="preserve">  </w:t>
      </w:r>
      <w:r>
        <w:drawing>
          <wp:inline xmlns:a="http://schemas.openxmlformats.org/drawingml/2006/main" xmlns:pic="http://schemas.openxmlformats.org/drawingml/2006/picture">
            <wp:extent cx="2651760" cy="1919892"/>
            <wp:docPr id="6" name="Picture 6"/>
            <wp:cNvGraphicFramePr>
              <a:graphicFrameLocks noChangeAspect="1"/>
            </wp:cNvGraphicFramePr>
            <a:graphic>
              <a:graphicData uri="http://schemas.openxmlformats.org/drawingml/2006/picture">
                <pic:pic>
                  <pic:nvPicPr>
                    <pic:cNvPr id="0" name="figure02_audit.png"/>
                    <pic:cNvPicPr/>
                  </pic:nvPicPr>
                  <pic:blipFill>
                    <a:blip r:embed="rId15"/>
                    <a:stretch>
                      <a:fillRect/>
                    </a:stretch>
                  </pic:blipFill>
                  <pic:spPr>
                    <a:xfrm>
                      <a:off x="0" y="0"/>
                      <a:ext cx="2651760" cy="1919892"/>
                    </a:xfrm>
                    <a:prstGeom prst="rect"/>
                  </pic:spPr>
                </pic:pic>
              </a:graphicData>
            </a:graphic>
          </wp:inline>
        </w:drawing>
      </w:r>
    </w:p>
    <w:p>
      <w:pPr>
        <w:pStyle w:val="Caption"/>
      </w:pPr>
      <w:r>
        <w:t>左下图对应原文图 7，以非偏离者第 2 期价格与冲击前价格之比表示惩罚强度，值越低表示降价越多；右下图为持续动态最优回应审计。</w:t>
      </w:r>
    </w:p>
    <w:p>
      <w:r>
        <w:t>本次 121 个格点的平均利润增益介于 0.690 与 0.887。这检验了高利润是否只在单个参数点上出现。网格较稀且每点重复次数较少，因此不宜比较原图细微的局部纹理或据此精确定位全局最优参数。</w:t>
      </w:r>
    </w:p>
    <w:p>
      <w:r>
        <w:t>β 越小，探索衰减越慢，训练耗时越长。α 决定新观察对旧 Q 值的替换速度；更快更新未必提高长期收益。惩罚热力图来自正文静态最优回应冲击，和前页固定档位版本分开记录。</w:t>
      </w:r>
    </w:p>
    <w:p>
      <w:pPr>
        <w:pStyle w:val="Heading1"/>
        <w:pageBreakBefore/>
      </w:pPr>
      <w:r>
        <w:t>折现因子和无记忆对照</w:t>
      </w:r>
    </w:p>
    <w:p>
      <w:pPr>
        <w:keepNext/>
        <w:spacing w:after="40"/>
        <w:jc w:val="center"/>
      </w:pPr>
      <w:r>
        <w:drawing>
          <wp:inline xmlns:a="http://schemas.openxmlformats.org/drawingml/2006/main" xmlns:pic="http://schemas.openxmlformats.org/drawingml/2006/picture">
            <wp:extent cx="5486400" cy="3710568"/>
            <wp:docPr id="7" name="Picture 7"/>
            <wp:cNvGraphicFramePr>
              <a:graphicFrameLocks noChangeAspect="1"/>
            </wp:cNvGraphicFramePr>
            <a:graphic>
              <a:graphicData uri="http://schemas.openxmlformats.org/drawingml/2006/picture">
                <pic:pic>
                  <pic:nvPicPr>
                    <pic:cNvPr id="0" name="figure03.png"/>
                    <pic:cNvPicPr/>
                  </pic:nvPicPr>
                  <pic:blipFill>
                    <a:blip r:embed="rId16"/>
                    <a:stretch>
                      <a:fillRect/>
                    </a:stretch>
                  </pic:blipFill>
                  <pic:spPr>
                    <a:xfrm>
                      <a:off x="0" y="0"/>
                      <a:ext cx="5486400" cy="3710568"/>
                    </a:xfrm>
                    <a:prstGeom prst="rect"/>
                  </pic:spPr>
                </pic:pic>
              </a:graphicData>
            </a:graphic>
          </wp:inline>
        </w:drawing>
      </w:r>
    </w:p>
    <w:p>
      <w:pPr>
        <w:pStyle w:val="Caption"/>
      </w:pPr>
      <w:r>
        <w:t>图 3  每个折现因子执行 200 次会话，浅色带为均值的近似 95% 置信区间。</w:t>
      </w:r>
    </w:p>
    <w:p>
      <w:r>
        <w:t>改变 δ 保持其余基准参数不变。高折现因子提高未来损失对当前定价的影响，使延迟惩罚能够约束当前行为；当 δ 较低时，算法更倾向于争取当期收益，平均利润增益下降。δ 同时进入 Q 更新目标和初始化，因而这不是只改变经济激励而完全保持学习动态不变的实验。</w:t>
      </w:r>
    </w:p>
    <w:tbl>
      <w:tblPr>
        <w:tblW w:type="auto" w:w="0"/>
        <w:jc w:val="center"/>
        <w:tblLayout w:type="fixed"/>
        <w:tblLook w:firstColumn="1" w:firstRow="1" w:lastColumn="0" w:lastRow="0" w:noHBand="0" w:noVBand="1" w:val="04A0"/>
      </w:tblPr>
      <w:tblGrid>
        <w:gridCol w:w="3312"/>
        <w:gridCol w:w="2232"/>
        <w:gridCol w:w="1800"/>
        <w:gridCol w:w="2232"/>
      </w:tblGrid>
      <w:tr>
        <w:trPr>
          <w:cantSplit/>
          <w:tblHeader/>
        </w:trPr>
        <w:tc>
          <w:tcPr>
            <w:tcW w:type="dxa" w:w="3312"/>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left"/>
            </w:pPr>
            <w:r>
              <w:rPr>
                <w:b/>
                <w:sz w:val="18"/>
              </w:rPr>
              <w:t>对照组</w:t>
            </w:r>
          </w:p>
        </w:tc>
        <w:tc>
          <w:tcPr>
            <w:tcW w:type="dxa" w:w="2232"/>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center"/>
            </w:pPr>
            <w:r>
              <w:rPr>
                <w:b/>
                <w:sz w:val="18"/>
              </w:rPr>
              <w:t>本次 Δ</w:t>
            </w:r>
          </w:p>
        </w:tc>
        <w:tc>
          <w:tcPr>
            <w:tcW w:type="dxa" w:w="1800"/>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center"/>
            </w:pPr>
            <w:r>
              <w:rPr>
                <w:b/>
                <w:sz w:val="18"/>
              </w:rPr>
              <w:t>原文参照</w:t>
            </w:r>
          </w:p>
        </w:tc>
        <w:tc>
          <w:tcPr>
            <w:tcW w:type="dxa" w:w="2232"/>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center"/>
            </w:pPr>
            <w:r>
              <w:rPr>
                <w:b/>
                <w:sz w:val="18"/>
              </w:rPr>
              <w:t>收敛次数</w:t>
            </w:r>
          </w:p>
        </w:tc>
      </w:tr>
      <w:tr>
        <w:trPr>
          <w:cantSplit/>
        </w:trPr>
        <w:tc>
          <w:tcPr>
            <w:tcW w:type="dxa" w:w="331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discount_0.00</w:t>
            </w:r>
          </w:p>
        </w:tc>
        <w:tc>
          <w:tcPr>
            <w:tcW w:type="dxa" w:w="223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0.208 ± 0.016</w:t>
            </w:r>
          </w:p>
        </w:tc>
        <w:tc>
          <w:tcPr>
            <w:tcW w:type="dxa" w:w="180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见图 3</w:t>
            </w:r>
          </w:p>
        </w:tc>
        <w:tc>
          <w:tcPr>
            <w:tcW w:type="dxa" w:w="223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200/200</w:t>
            </w:r>
          </w:p>
        </w:tc>
      </w:tr>
      <w:tr>
        <w:trPr>
          <w:cantSplit/>
        </w:trPr>
        <w:tc>
          <w:tcPr>
            <w:tcW w:type="dxa" w:w="331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discount_0.50</w:t>
            </w:r>
          </w:p>
        </w:tc>
        <w:tc>
          <w:tcPr>
            <w:tcW w:type="dxa" w:w="223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0.213 ± 0.019</w:t>
            </w:r>
          </w:p>
        </w:tc>
        <w:tc>
          <w:tcPr>
            <w:tcW w:type="dxa" w:w="180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见图 3</w:t>
            </w:r>
          </w:p>
        </w:tc>
        <w:tc>
          <w:tcPr>
            <w:tcW w:type="dxa" w:w="223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200/200</w:t>
            </w:r>
          </w:p>
        </w:tc>
      </w:tr>
      <w:tr>
        <w:trPr>
          <w:cantSplit/>
        </w:trPr>
        <w:tc>
          <w:tcPr>
            <w:tcW w:type="dxa" w:w="331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discount_0.95</w:t>
            </w:r>
          </w:p>
        </w:tc>
        <w:tc>
          <w:tcPr>
            <w:tcW w:type="dxa" w:w="223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0.857 ± 0.015</w:t>
            </w:r>
          </w:p>
        </w:tc>
        <w:tc>
          <w:tcPr>
            <w:tcW w:type="dxa" w:w="180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.849</w:t>
            </w:r>
          </w:p>
        </w:tc>
        <w:tc>
          <w:tcPr>
            <w:tcW w:type="dxa" w:w="223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200/200</w:t>
            </w:r>
          </w:p>
        </w:tc>
      </w:tr>
      <w:tr>
        <w:trPr>
          <w:cantSplit/>
        </w:trPr>
        <w:tc>
          <w:tcPr>
            <w:tcW w:type="dxa" w:w="331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discount_0.99</w:t>
            </w:r>
          </w:p>
        </w:tc>
        <w:tc>
          <w:tcPr>
            <w:tcW w:type="dxa" w:w="223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0.940 ± 0.008</w:t>
            </w:r>
          </w:p>
        </w:tc>
        <w:tc>
          <w:tcPr>
            <w:tcW w:type="dxa" w:w="180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见图 3</w:t>
            </w:r>
          </w:p>
        </w:tc>
        <w:tc>
          <w:tcPr>
            <w:tcW w:type="dxa" w:w="223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200/200</w:t>
            </w:r>
          </w:p>
        </w:tc>
      </w:tr>
      <w:tr>
        <w:trPr>
          <w:cantSplit/>
        </w:trPr>
        <w:tc>
          <w:tcPr>
            <w:tcW w:type="dxa" w:w="331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memoryless</w:t>
            </w:r>
          </w:p>
        </w:tc>
        <w:tc>
          <w:tcPr>
            <w:tcW w:type="dxa" w:w="223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0.158 ± 0.023</w:t>
            </w:r>
          </w:p>
        </w:tc>
        <w:tc>
          <w:tcPr>
            <w:tcW w:type="dxa" w:w="180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.185</w:t>
            </w:r>
          </w:p>
        </w:tc>
        <w:tc>
          <w:tcPr>
            <w:tcW w:type="dxa" w:w="223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200/200</w:t>
            </w:r>
          </w:p>
        </w:tc>
      </w:tr>
    </w:tbl>
    <w:p>
      <w:pPr>
        <w:spacing w:line="40" w:lineRule="exact" w:after="80"/>
      </w:pPr>
      <w:r>
        <w:rPr>
          <w:sz w:val="2"/>
        </w:rPr>
      </w:r>
    </w:p>
    <w:p>
      <w:r>
        <w:t>无记忆实验只有一个状态，因此不能根据上一期对手价格实施条件惩罚。其残余利润增益可能来自价格离散化、持续更新过程以及未达到精确最优回应，不应仅凭 Δ&gt;0 判断存在重复博弈式惩罚机制。</w:t>
      </w:r>
    </w:p>
    <w:p>
      <w:pPr>
        <w:pStyle w:val="Heading1"/>
        <w:pageBreakBefore/>
      </w:pPr>
      <w:r>
        <w:t>冲击分布与小幅降价</w:t>
      </w:r>
    </w:p>
    <w:p>
      <w:pPr>
        <w:keepNext/>
        <w:spacing w:after="40"/>
        <w:jc w:val="center"/>
      </w:pPr>
      <w:r>
        <w:drawing>
          <wp:inline xmlns:a="http://schemas.openxmlformats.org/drawingml/2006/main" xmlns:pic="http://schemas.openxmlformats.org/drawingml/2006/picture">
            <wp:extent cx="5486400" cy="2352790"/>
            <wp:docPr id="8" name="Picture 8"/>
            <wp:cNvGraphicFramePr>
              <a:graphicFrameLocks noChangeAspect="1"/>
            </wp:cNvGraphicFramePr>
            <a:graphic>
              <a:graphicData uri="http://schemas.openxmlformats.org/drawingml/2006/picture">
                <pic:pic>
                  <pic:nvPicPr>
                    <pic:cNvPr id="0" name="figure05.png"/>
                    <pic:cNvPicPr/>
                  </pic:nvPicPr>
                  <pic:blipFill>
                    <a:blip r:embed="rId17"/>
                    <a:stretch>
                      <a:fillRect/>
                    </a:stretch>
                  </pic:blipFill>
                  <pic:spPr>
                    <a:xfrm>
                      <a:off x="0" y="0"/>
                      <a:ext cx="5486400" cy="2352790"/>
                    </a:xfrm>
                    <a:prstGeom prst="rect"/>
                  </pic:spPr>
                </pic:pic>
              </a:graphicData>
            </a:graphic>
          </wp:inline>
        </w:drawing>
      </w:r>
    </w:p>
    <w:p>
      <w:pPr>
        <w:pStyle w:val="Caption"/>
      </w:pPr>
      <w:r>
        <w:t>图 5  仅使用最终价格恒定的会话。实线为均值，矩形为四分位区间，虚线为样本最小值至最大值；冲击采用正文静态最优回应。</w:t>
      </w:r>
    </w:p>
    <w:p>
      <w:r>
        <w:t>平均曲线并未展示所有会话的异质性。不同训练历史会产生不同惩罚深度和恢复路径，因此检阅机制时需同时查看分布，而不能只看平滑均值。</w:t>
      </w:r>
    </w:p>
    <w:p>
      <w:pPr>
        <w:keepNext/>
        <w:spacing w:after="40"/>
        <w:jc w:val="center"/>
      </w:pPr>
      <w:r>
        <w:drawing>
          <wp:inline xmlns:a="http://schemas.openxmlformats.org/drawingml/2006/main" xmlns:pic="http://schemas.openxmlformats.org/drawingml/2006/picture">
            <wp:extent cx="5212080" cy="3124025"/>
            <wp:docPr id="9" name="Picture 9"/>
            <wp:cNvGraphicFramePr>
              <a:graphicFrameLocks noChangeAspect="1"/>
            </wp:cNvGraphicFramePr>
            <a:graphic>
              <a:graphicData uri="http://schemas.openxmlformats.org/drawingml/2006/picture">
                <pic:pic>
                  <pic:nvPicPr>
                    <pic:cNvPr id="0" name="figure06.png"/>
                    <pic:cNvPicPr/>
                  </pic:nvPicPr>
                  <pic:blipFill>
                    <a:blip r:embed="rId18"/>
                    <a:stretch>
                      <a:fillRect/>
                    </a:stretch>
                  </pic:blipFill>
                  <pic:spPr>
                    <a:xfrm>
                      <a:off x="0" y="0"/>
                      <a:ext cx="5212080" cy="3124025"/>
                    </a:xfrm>
                    <a:prstGeom prst="rect"/>
                  </pic:spPr>
                </pic:pic>
              </a:graphicData>
            </a:graphic>
          </wp:inline>
        </w:drawing>
      </w:r>
    </w:p>
    <w:p>
      <w:pPr>
        <w:pStyle w:val="Caption"/>
      </w:pPr>
      <w:r>
        <w:t>图 6  将偏离企业在第 1 期的原定价格降低一个网格档位，之后恢复原策略；所有会话及周期相位均参与平均。</w:t>
      </w:r>
    </w:p>
    <w:p>
      <w:r>
        <w:t>小幅降价后若双方第 2 期进一步降价，就出现原文所称的过度反应。这里将“小幅”明确规定为一个价格档位，正文未给出可唯一确定的小冲击数值，因此该曲线是具有明确规则的机制复现。</w:t>
      </w:r>
    </w:p>
    <w:p>
      <w:pPr>
        <w:pStyle w:val="Heading1"/>
        <w:pageBreakBefore/>
      </w:pPr>
      <w:r>
        <w:t>表 2 偏离后的价格变化</w:t>
      </w:r>
    </w:p>
    <w:p>
      <w:r>
        <w:t>仅纳入收敛至对称恒定价格的会话。列标题为强制偏离价格，按原文方式隔一档报告；未构成降价的位置留空。频率以本次对称恒定价格会话为分母；小样本价格组的数值应谨慎解读。完整 15 档数据及组内次数另存 CSV。</w:t>
      </w:r>
    </w:p>
    <w:p>
      <w:pPr>
        <w:pStyle w:val="Heading2"/>
      </w:pPr>
      <w:r>
        <w:t>面板 A 非偏离者第 2 期相对冲击前价格变化</w:t>
      </w:r>
    </w:p>
    <w:tbl>
      <w:tblPr>
        <w:tblW w:type="auto" w:w="0"/>
        <w:jc w:val="center"/>
        <w:tblLayout w:type="fixed"/>
        <w:tblLook w:firstColumn="1" w:firstRow="1" w:lastColumn="0" w:lastRow="0" w:noHBand="0" w:noVBand="1" w:val="04A0"/>
      </w:tblPr>
      <w:tblGrid>
        <w:gridCol w:w="979"/>
        <w:gridCol w:w="720"/>
        <w:gridCol w:w="1125"/>
        <w:gridCol w:w="1125"/>
        <w:gridCol w:w="1125"/>
        <w:gridCol w:w="1125"/>
        <w:gridCol w:w="1125"/>
        <w:gridCol w:w="1125"/>
        <w:gridCol w:w="1125"/>
      </w:tblGrid>
      <w:tr>
        <w:trPr>
          <w:cantSplit/>
          <w:tblHeader/>
        </w:trPr>
        <w:tc>
          <w:tcPr>
            <w:tcW w:type="dxa" w:w="979"/>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40" w:lineRule="exact"/>
              <w:jc w:val="left"/>
            </w:pPr>
            <w:r>
              <w:rPr>
                <w:b/>
                <w:sz w:val="16"/>
              </w:rPr>
              <w:t>冲击前价</w:t>
            </w:r>
          </w:p>
        </w:tc>
        <w:tc>
          <w:tcPr>
            <w:tcW w:type="dxa" w:w="720"/>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40" w:lineRule="exact"/>
              <w:jc w:val="center"/>
            </w:pPr>
            <w:r>
              <w:rPr>
                <w:b/>
                <w:sz w:val="16"/>
              </w:rPr>
              <w:t>频率</w:t>
            </w:r>
          </w:p>
        </w:tc>
        <w:tc>
          <w:tcPr>
            <w:tcW w:type="dxa" w:w="1125"/>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40" w:lineRule="exact"/>
              <w:jc w:val="center"/>
            </w:pPr>
            <w:r>
              <w:rPr>
                <w:b/>
                <w:sz w:val="16"/>
              </w:rPr>
              <w:t>1.43</w:t>
            </w:r>
          </w:p>
        </w:tc>
        <w:tc>
          <w:tcPr>
            <w:tcW w:type="dxa" w:w="1125"/>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40" w:lineRule="exact"/>
              <w:jc w:val="center"/>
            </w:pPr>
            <w:r>
              <w:rPr>
                <w:b/>
                <w:sz w:val="16"/>
              </w:rPr>
              <w:t>1.51</w:t>
            </w:r>
          </w:p>
        </w:tc>
        <w:tc>
          <w:tcPr>
            <w:tcW w:type="dxa" w:w="1125"/>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40" w:lineRule="exact"/>
              <w:jc w:val="center"/>
            </w:pPr>
            <w:r>
              <w:rPr>
                <w:b/>
                <w:sz w:val="16"/>
              </w:rPr>
              <w:t>1.58</w:t>
            </w:r>
          </w:p>
        </w:tc>
        <w:tc>
          <w:tcPr>
            <w:tcW w:type="dxa" w:w="1125"/>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40" w:lineRule="exact"/>
              <w:jc w:val="center"/>
            </w:pPr>
            <w:r>
              <w:rPr>
                <w:b/>
                <w:sz w:val="16"/>
              </w:rPr>
              <w:t>1.66</w:t>
            </w:r>
          </w:p>
        </w:tc>
        <w:tc>
          <w:tcPr>
            <w:tcW w:type="dxa" w:w="1125"/>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40" w:lineRule="exact"/>
              <w:jc w:val="center"/>
            </w:pPr>
            <w:r>
              <w:rPr>
                <w:b/>
                <w:sz w:val="16"/>
              </w:rPr>
              <w:t>1.74</w:t>
            </w:r>
          </w:p>
        </w:tc>
        <w:tc>
          <w:tcPr>
            <w:tcW w:type="dxa" w:w="1125"/>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40" w:lineRule="exact"/>
              <w:jc w:val="center"/>
            </w:pPr>
            <w:r>
              <w:rPr>
                <w:b/>
                <w:sz w:val="16"/>
              </w:rPr>
              <w:t>1.82</w:t>
            </w:r>
          </w:p>
        </w:tc>
        <w:tc>
          <w:tcPr>
            <w:tcW w:type="dxa" w:w="1125"/>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40" w:lineRule="exact"/>
              <w:jc w:val="center"/>
            </w:pPr>
            <w:r>
              <w:rPr>
                <w:b/>
                <w:sz w:val="16"/>
              </w:rPr>
              <w:t>1.89</w:t>
            </w:r>
          </w:p>
        </w:tc>
      </w:tr>
      <w:tr>
        <w:trPr>
          <w:cantSplit/>
        </w:trPr>
        <w:tc>
          <w:tcPr>
            <w:tcW w:type="dxa" w:w="979"/>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left"/>
            </w:pPr>
            <w:r>
              <w:rPr>
                <w:b w:val="0"/>
                <w:sz w:val="16"/>
              </w:rPr>
              <w:t>1.62</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0.01</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-0.10</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-0.08</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-0.07</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r>
      <w:tr>
        <w:trPr>
          <w:cantSplit/>
        </w:trPr>
        <w:tc>
          <w:tcPr>
            <w:tcW w:type="dxa" w:w="979"/>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left"/>
            </w:pPr>
            <w:r>
              <w:rPr>
                <w:b w:val="0"/>
                <w:sz w:val="16"/>
              </w:rPr>
              <w:t>1.66</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0.04</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-0.09</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-0.09</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-0.08</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r>
      <w:tr>
        <w:trPr>
          <w:cantSplit/>
        </w:trPr>
        <w:tc>
          <w:tcPr>
            <w:tcW w:type="dxa" w:w="979"/>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left"/>
            </w:pPr>
            <w:r>
              <w:rPr>
                <w:b w:val="0"/>
                <w:sz w:val="16"/>
              </w:rPr>
              <w:t>1.70</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0.12</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-0.09</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-0.09</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-0.10</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-0.09</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r>
      <w:tr>
        <w:trPr>
          <w:cantSplit/>
        </w:trPr>
        <w:tc>
          <w:tcPr>
            <w:tcW w:type="dxa" w:w="979"/>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left"/>
            </w:pPr>
            <w:r>
              <w:rPr>
                <w:b w:val="0"/>
                <w:sz w:val="16"/>
              </w:rPr>
              <w:t>1.74</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0.16</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-0.11</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-0.13</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-0.12</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-0.12</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r>
      <w:tr>
        <w:trPr>
          <w:cantSplit/>
        </w:trPr>
        <w:tc>
          <w:tcPr>
            <w:tcW w:type="dxa" w:w="979"/>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left"/>
            </w:pPr>
            <w:r>
              <w:rPr>
                <w:b w:val="0"/>
                <w:sz w:val="16"/>
              </w:rPr>
              <w:t>1.78</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0.23</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-0.14</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-0.13</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-0.12</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-0.14</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-0.12</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r>
      <w:tr>
        <w:trPr>
          <w:cantSplit/>
        </w:trPr>
        <w:tc>
          <w:tcPr>
            <w:tcW w:type="dxa" w:w="979"/>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left"/>
            </w:pPr>
            <w:r>
              <w:rPr>
                <w:b w:val="0"/>
                <w:sz w:val="16"/>
              </w:rPr>
              <w:t>1.82</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0.17</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-0.14</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-0.14</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-0.14</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-0.15</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-0.13</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r>
      <w:tr>
        <w:trPr>
          <w:cantSplit/>
        </w:trPr>
        <w:tc>
          <w:tcPr>
            <w:tcW w:type="dxa" w:w="979"/>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left"/>
            </w:pPr>
            <w:r>
              <w:rPr>
                <w:b w:val="0"/>
                <w:sz w:val="16"/>
              </w:rPr>
              <w:t>1.85</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0.12</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-0.18</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-0.14</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-0.14</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-0.14</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-0.15</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-0.16</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r>
      <w:tr>
        <w:trPr>
          <w:cantSplit/>
        </w:trPr>
        <w:tc>
          <w:tcPr>
            <w:tcW w:type="dxa" w:w="979"/>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left"/>
            </w:pPr>
            <w:r>
              <w:rPr>
                <w:b w:val="0"/>
                <w:sz w:val="16"/>
              </w:rPr>
              <w:t>1.89</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0.08</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-0.15</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-0.20</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-0.17</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-0.18</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-0.18</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-0.16</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w:t>
            </w:r>
          </w:p>
        </w:tc>
      </w:tr>
      <w:tr>
        <w:trPr>
          <w:cantSplit/>
        </w:trPr>
        <w:tc>
          <w:tcPr>
            <w:tcW w:type="dxa" w:w="979"/>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left"/>
            </w:pPr>
            <w:r>
              <w:rPr>
                <w:b w:val="0"/>
                <w:sz w:val="16"/>
              </w:rPr>
              <w:t>1.93</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0.04</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-0.19</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-0.20</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-0.19</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-0.19</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-0.17</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-0.18</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-0.13</w:t>
            </w:r>
          </w:p>
        </w:tc>
      </w:tr>
      <w:tr>
        <w:trPr>
          <w:cantSplit/>
        </w:trPr>
        <w:tc>
          <w:tcPr>
            <w:tcW w:type="dxa" w:w="979"/>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left"/>
            </w:pPr>
            <w:r>
              <w:rPr>
                <w:b w:val="0"/>
                <w:sz w:val="16"/>
              </w:rPr>
              <w:t>1.97</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0.02</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-0.18</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-0.23</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-0.20</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-0.20</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-0.22</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-0.18</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-0.15</w:t>
            </w:r>
          </w:p>
        </w:tc>
      </w:tr>
    </w:tbl>
    <w:p>
      <w:pPr>
        <w:spacing w:line="40" w:lineRule="exact" w:after="80"/>
      </w:pPr>
      <w:r>
        <w:rPr>
          <w:sz w:val="2"/>
        </w:rPr>
      </w:r>
    </w:p>
    <w:p>
      <w:pPr>
        <w:pStyle w:val="Heading2"/>
      </w:pPr>
      <w:r>
        <w:t>面板 B 偏离者第 2 期相对第 1 期价格变化</w:t>
      </w:r>
    </w:p>
    <w:tbl>
      <w:tblPr>
        <w:tblW w:type="auto" w:w="0"/>
        <w:jc w:val="center"/>
        <w:tblLayout w:type="fixed"/>
        <w:tblLook w:firstColumn="1" w:firstRow="1" w:lastColumn="0" w:lastRow="0" w:noHBand="0" w:noVBand="1" w:val="04A0"/>
      </w:tblPr>
      <w:tblGrid>
        <w:gridCol w:w="979"/>
        <w:gridCol w:w="720"/>
        <w:gridCol w:w="1125"/>
        <w:gridCol w:w="1125"/>
        <w:gridCol w:w="1125"/>
        <w:gridCol w:w="1125"/>
        <w:gridCol w:w="1125"/>
        <w:gridCol w:w="1125"/>
        <w:gridCol w:w="1125"/>
      </w:tblGrid>
      <w:tr>
        <w:trPr>
          <w:cantSplit/>
          <w:tblHeader/>
        </w:trPr>
        <w:tc>
          <w:tcPr>
            <w:tcW w:type="dxa" w:w="979"/>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40" w:lineRule="exact"/>
              <w:jc w:val="left"/>
            </w:pPr>
            <w:r>
              <w:rPr>
                <w:b/>
                <w:sz w:val="16"/>
              </w:rPr>
              <w:t>冲击前价</w:t>
            </w:r>
          </w:p>
        </w:tc>
        <w:tc>
          <w:tcPr>
            <w:tcW w:type="dxa" w:w="720"/>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40" w:lineRule="exact"/>
              <w:jc w:val="center"/>
            </w:pPr>
            <w:r>
              <w:rPr>
                <w:b/>
                <w:sz w:val="16"/>
              </w:rPr>
              <w:t>频率</w:t>
            </w:r>
          </w:p>
        </w:tc>
        <w:tc>
          <w:tcPr>
            <w:tcW w:type="dxa" w:w="1125"/>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40" w:lineRule="exact"/>
              <w:jc w:val="center"/>
            </w:pPr>
            <w:r>
              <w:rPr>
                <w:b/>
                <w:sz w:val="16"/>
              </w:rPr>
              <w:t>1.43</w:t>
            </w:r>
          </w:p>
        </w:tc>
        <w:tc>
          <w:tcPr>
            <w:tcW w:type="dxa" w:w="1125"/>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40" w:lineRule="exact"/>
              <w:jc w:val="center"/>
            </w:pPr>
            <w:r>
              <w:rPr>
                <w:b/>
                <w:sz w:val="16"/>
              </w:rPr>
              <w:t>1.51</w:t>
            </w:r>
          </w:p>
        </w:tc>
        <w:tc>
          <w:tcPr>
            <w:tcW w:type="dxa" w:w="1125"/>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40" w:lineRule="exact"/>
              <w:jc w:val="center"/>
            </w:pPr>
            <w:r>
              <w:rPr>
                <w:b/>
                <w:sz w:val="16"/>
              </w:rPr>
              <w:t>1.58</w:t>
            </w:r>
          </w:p>
        </w:tc>
        <w:tc>
          <w:tcPr>
            <w:tcW w:type="dxa" w:w="1125"/>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40" w:lineRule="exact"/>
              <w:jc w:val="center"/>
            </w:pPr>
            <w:r>
              <w:rPr>
                <w:b/>
                <w:sz w:val="16"/>
              </w:rPr>
              <w:t>1.66</w:t>
            </w:r>
          </w:p>
        </w:tc>
        <w:tc>
          <w:tcPr>
            <w:tcW w:type="dxa" w:w="1125"/>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40" w:lineRule="exact"/>
              <w:jc w:val="center"/>
            </w:pPr>
            <w:r>
              <w:rPr>
                <w:b/>
                <w:sz w:val="16"/>
              </w:rPr>
              <w:t>1.74</w:t>
            </w:r>
          </w:p>
        </w:tc>
        <w:tc>
          <w:tcPr>
            <w:tcW w:type="dxa" w:w="1125"/>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40" w:lineRule="exact"/>
              <w:jc w:val="center"/>
            </w:pPr>
            <w:r>
              <w:rPr>
                <w:b/>
                <w:sz w:val="16"/>
              </w:rPr>
              <w:t>1.82</w:t>
            </w:r>
          </w:p>
        </w:tc>
        <w:tc>
          <w:tcPr>
            <w:tcW w:type="dxa" w:w="1125"/>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40" w:lineRule="exact"/>
              <w:jc w:val="center"/>
            </w:pPr>
            <w:r>
              <w:rPr>
                <w:b/>
                <w:sz w:val="16"/>
              </w:rPr>
              <w:t>1.89</w:t>
            </w:r>
          </w:p>
        </w:tc>
      </w:tr>
      <w:tr>
        <w:trPr>
          <w:cantSplit/>
        </w:trPr>
        <w:tc>
          <w:tcPr>
            <w:tcW w:type="dxa" w:w="979"/>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left"/>
            </w:pPr>
            <w:r>
              <w:rPr>
                <w:b w:val="0"/>
                <w:sz w:val="16"/>
              </w:rPr>
              <w:t>1.62</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0.01</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0.07</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0.03</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-0.02</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r>
      <w:tr>
        <w:trPr>
          <w:cantSplit/>
        </w:trPr>
        <w:tc>
          <w:tcPr>
            <w:tcW w:type="dxa" w:w="979"/>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left"/>
            </w:pPr>
            <w:r>
              <w:rPr>
                <w:b w:val="0"/>
                <w:sz w:val="16"/>
              </w:rPr>
              <w:t>1.66</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0.04</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0.07</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0.02</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-0.00</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r>
      <w:tr>
        <w:trPr>
          <w:cantSplit/>
        </w:trPr>
        <w:tc>
          <w:tcPr>
            <w:tcW w:type="dxa" w:w="979"/>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left"/>
            </w:pPr>
            <w:r>
              <w:rPr>
                <w:b w:val="0"/>
                <w:sz w:val="16"/>
              </w:rPr>
              <w:t>1.70</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0.12</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0.07</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0.03</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-0.03</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-0.06</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r>
      <w:tr>
        <w:trPr>
          <w:cantSplit/>
        </w:trPr>
        <w:tc>
          <w:tcPr>
            <w:tcW w:type="dxa" w:w="979"/>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left"/>
            </w:pPr>
            <w:r>
              <w:rPr>
                <w:b w:val="0"/>
                <w:sz w:val="16"/>
              </w:rPr>
              <w:t>1.74</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0.16</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0.08</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0.03</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-0.02</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-0.07</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r>
      <w:tr>
        <w:trPr>
          <w:cantSplit/>
        </w:trPr>
        <w:tc>
          <w:tcPr>
            <w:tcW w:type="dxa" w:w="979"/>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left"/>
            </w:pPr>
            <w:r>
              <w:rPr>
                <w:b w:val="0"/>
                <w:sz w:val="16"/>
              </w:rPr>
              <w:t>1.78</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0.23</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0.10</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0.02</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-0.00</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-0.07</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-0.11</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r>
      <w:tr>
        <w:trPr>
          <w:cantSplit/>
        </w:trPr>
        <w:tc>
          <w:tcPr>
            <w:tcW w:type="dxa" w:w="979"/>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left"/>
            </w:pPr>
            <w:r>
              <w:rPr>
                <w:b w:val="0"/>
                <w:sz w:val="16"/>
              </w:rPr>
              <w:t>1.82</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0.17</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0.11</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0.05</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-0.03</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-0.05</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-0.09</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r>
      <w:tr>
        <w:trPr>
          <w:cantSplit/>
        </w:trPr>
        <w:tc>
          <w:tcPr>
            <w:tcW w:type="dxa" w:w="979"/>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left"/>
            </w:pPr>
            <w:r>
              <w:rPr>
                <w:b w:val="0"/>
                <w:sz w:val="16"/>
              </w:rPr>
              <w:t>1.85</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0.12</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0.08</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0.05</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0.00</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-0.03</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-0.09</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-0.14</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r>
      <w:tr>
        <w:trPr>
          <w:cantSplit/>
        </w:trPr>
        <w:tc>
          <w:tcPr>
            <w:tcW w:type="dxa" w:w="979"/>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left"/>
            </w:pPr>
            <w:r>
              <w:rPr>
                <w:b w:val="0"/>
                <w:sz w:val="16"/>
              </w:rPr>
              <w:t>1.89</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0.08</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0.10</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0.04</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-0.01</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-0.04</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-0.09</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-0.14</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w:t>
            </w:r>
          </w:p>
        </w:tc>
      </w:tr>
      <w:tr>
        <w:trPr>
          <w:cantSplit/>
        </w:trPr>
        <w:tc>
          <w:tcPr>
            <w:tcW w:type="dxa" w:w="979"/>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left"/>
            </w:pPr>
            <w:r>
              <w:rPr>
                <w:b w:val="0"/>
                <w:sz w:val="16"/>
              </w:rPr>
              <w:t>1.93</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0.04</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0.09</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0.02</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0.01</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-0.05</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-0.07</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-0.13</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-0.13</w:t>
            </w:r>
          </w:p>
        </w:tc>
      </w:tr>
      <w:tr>
        <w:trPr>
          <w:cantSplit/>
        </w:trPr>
        <w:tc>
          <w:tcPr>
            <w:tcW w:type="dxa" w:w="979"/>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left"/>
            </w:pPr>
            <w:r>
              <w:rPr>
                <w:b w:val="0"/>
                <w:sz w:val="16"/>
              </w:rPr>
              <w:t>1.97</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0.02</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0.12</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0.03</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0.02</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-0.05</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-0.07</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-0.15</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-0.12</w:t>
            </w:r>
          </w:p>
        </w:tc>
      </w:tr>
    </w:tbl>
    <w:p>
      <w:pPr>
        <w:spacing w:line="40" w:lineRule="exact" w:after="80"/>
      </w:pPr>
      <w:r>
        <w:rPr>
          <w:sz w:val="2"/>
        </w:rPr>
      </w:r>
    </w:p>
    <w:p>
      <w:r>
        <w:t>表中 −0.13 表示价格下降 13%，不是价格下降 0.13 个单位。不同降价幅度通常触发相似量级的竞争反应；对偏离企业而言，大幅降价后下一期可以回升，而小幅降价后反而可能继续下调。</w:t>
      </w:r>
    </w:p>
    <w:p>
      <w:pPr>
        <w:pStyle w:val="Heading1"/>
        <w:pageBreakBefore/>
      </w:pPr>
      <w:r>
        <w:t>表 3 偏离是否有利可图</w:t>
      </w:r>
    </w:p>
    <w:p>
      <w:pPr>
        <w:pStyle w:val="Heading2"/>
      </w:pPr>
      <w:r>
        <w:t>面板 A 偏离者折现利润的相对变化</w:t>
      </w:r>
    </w:p>
    <w:tbl>
      <w:tblPr>
        <w:tblW w:type="auto" w:w="0"/>
        <w:jc w:val="center"/>
        <w:tblLayout w:type="fixed"/>
        <w:tblLook w:firstColumn="1" w:firstRow="1" w:lastColumn="0" w:lastRow="0" w:noHBand="0" w:noVBand="1" w:val="04A0"/>
      </w:tblPr>
      <w:tblGrid>
        <w:gridCol w:w="979"/>
        <w:gridCol w:w="720"/>
        <w:gridCol w:w="1125"/>
        <w:gridCol w:w="1125"/>
        <w:gridCol w:w="1125"/>
        <w:gridCol w:w="1125"/>
        <w:gridCol w:w="1125"/>
        <w:gridCol w:w="1125"/>
        <w:gridCol w:w="1125"/>
      </w:tblGrid>
      <w:tr>
        <w:trPr>
          <w:cantSplit/>
          <w:tblHeader/>
        </w:trPr>
        <w:tc>
          <w:tcPr>
            <w:tcW w:type="dxa" w:w="979"/>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40" w:lineRule="exact"/>
              <w:jc w:val="left"/>
            </w:pPr>
            <w:r>
              <w:rPr>
                <w:b/>
                <w:sz w:val="16"/>
              </w:rPr>
              <w:t>冲击前价</w:t>
            </w:r>
          </w:p>
        </w:tc>
        <w:tc>
          <w:tcPr>
            <w:tcW w:type="dxa" w:w="720"/>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40" w:lineRule="exact"/>
              <w:jc w:val="center"/>
            </w:pPr>
            <w:r>
              <w:rPr>
                <w:b/>
                <w:sz w:val="16"/>
              </w:rPr>
              <w:t>频率</w:t>
            </w:r>
          </w:p>
        </w:tc>
        <w:tc>
          <w:tcPr>
            <w:tcW w:type="dxa" w:w="1125"/>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40" w:lineRule="exact"/>
              <w:jc w:val="center"/>
            </w:pPr>
            <w:r>
              <w:rPr>
                <w:b/>
                <w:sz w:val="16"/>
              </w:rPr>
              <w:t>1.43</w:t>
            </w:r>
          </w:p>
        </w:tc>
        <w:tc>
          <w:tcPr>
            <w:tcW w:type="dxa" w:w="1125"/>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40" w:lineRule="exact"/>
              <w:jc w:val="center"/>
            </w:pPr>
            <w:r>
              <w:rPr>
                <w:b/>
                <w:sz w:val="16"/>
              </w:rPr>
              <w:t>1.51</w:t>
            </w:r>
          </w:p>
        </w:tc>
        <w:tc>
          <w:tcPr>
            <w:tcW w:type="dxa" w:w="1125"/>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40" w:lineRule="exact"/>
              <w:jc w:val="center"/>
            </w:pPr>
            <w:r>
              <w:rPr>
                <w:b/>
                <w:sz w:val="16"/>
              </w:rPr>
              <w:t>1.58</w:t>
            </w:r>
          </w:p>
        </w:tc>
        <w:tc>
          <w:tcPr>
            <w:tcW w:type="dxa" w:w="1125"/>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40" w:lineRule="exact"/>
              <w:jc w:val="center"/>
            </w:pPr>
            <w:r>
              <w:rPr>
                <w:b/>
                <w:sz w:val="16"/>
              </w:rPr>
              <w:t>1.66</w:t>
            </w:r>
          </w:p>
        </w:tc>
        <w:tc>
          <w:tcPr>
            <w:tcW w:type="dxa" w:w="1125"/>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40" w:lineRule="exact"/>
              <w:jc w:val="center"/>
            </w:pPr>
            <w:r>
              <w:rPr>
                <w:b/>
                <w:sz w:val="16"/>
              </w:rPr>
              <w:t>1.74</w:t>
            </w:r>
          </w:p>
        </w:tc>
        <w:tc>
          <w:tcPr>
            <w:tcW w:type="dxa" w:w="1125"/>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40" w:lineRule="exact"/>
              <w:jc w:val="center"/>
            </w:pPr>
            <w:r>
              <w:rPr>
                <w:b/>
                <w:sz w:val="16"/>
              </w:rPr>
              <w:t>1.82</w:t>
            </w:r>
          </w:p>
        </w:tc>
        <w:tc>
          <w:tcPr>
            <w:tcW w:type="dxa" w:w="1125"/>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40" w:lineRule="exact"/>
              <w:jc w:val="center"/>
            </w:pPr>
            <w:r>
              <w:rPr>
                <w:b/>
                <w:sz w:val="16"/>
              </w:rPr>
              <w:t>1.89</w:t>
            </w:r>
          </w:p>
        </w:tc>
      </w:tr>
      <w:tr>
        <w:trPr>
          <w:cantSplit/>
        </w:trPr>
        <w:tc>
          <w:tcPr>
            <w:tcW w:type="dxa" w:w="979"/>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left"/>
            </w:pPr>
            <w:r>
              <w:rPr>
                <w:b w:val="0"/>
                <w:sz w:val="16"/>
              </w:rPr>
              <w:t>1.62</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0.01</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-0.03</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-0.01</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-0.02</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r>
      <w:tr>
        <w:trPr>
          <w:cantSplit/>
        </w:trPr>
        <w:tc>
          <w:tcPr>
            <w:tcW w:type="dxa" w:w="979"/>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left"/>
            </w:pPr>
            <w:r>
              <w:rPr>
                <w:b w:val="0"/>
                <w:sz w:val="16"/>
              </w:rPr>
              <w:t>1.66</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0.04</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-0.03</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-0.02</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-0.02</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r>
      <w:tr>
        <w:trPr>
          <w:cantSplit/>
        </w:trPr>
        <w:tc>
          <w:tcPr>
            <w:tcW w:type="dxa" w:w="979"/>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left"/>
            </w:pPr>
            <w:r>
              <w:rPr>
                <w:b w:val="0"/>
                <w:sz w:val="16"/>
              </w:rPr>
              <w:t>1.70</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0.12</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-0.02</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-0.02</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-0.02</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-0.02</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r>
      <w:tr>
        <w:trPr>
          <w:cantSplit/>
        </w:trPr>
        <w:tc>
          <w:tcPr>
            <w:tcW w:type="dxa" w:w="979"/>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left"/>
            </w:pPr>
            <w:r>
              <w:rPr>
                <w:b w:val="0"/>
                <w:sz w:val="16"/>
              </w:rPr>
              <w:t>1.74</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0.16</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-0.03</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-0.03</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-0.03</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-0.03</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r>
      <w:tr>
        <w:trPr>
          <w:cantSplit/>
        </w:trPr>
        <w:tc>
          <w:tcPr>
            <w:tcW w:type="dxa" w:w="979"/>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left"/>
            </w:pPr>
            <w:r>
              <w:rPr>
                <w:b w:val="0"/>
                <w:sz w:val="16"/>
              </w:rPr>
              <w:t>1.78</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0.23</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-0.03</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-0.03</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-0.03</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-0.03</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-0.03</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r>
      <w:tr>
        <w:trPr>
          <w:cantSplit/>
        </w:trPr>
        <w:tc>
          <w:tcPr>
            <w:tcW w:type="dxa" w:w="979"/>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left"/>
            </w:pPr>
            <w:r>
              <w:rPr>
                <w:b w:val="0"/>
                <w:sz w:val="16"/>
              </w:rPr>
              <w:t>1.82</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0.17</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-0.04</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-0.04</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-0.03</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-0.03</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-0.03</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r>
      <w:tr>
        <w:trPr>
          <w:cantSplit/>
        </w:trPr>
        <w:tc>
          <w:tcPr>
            <w:tcW w:type="dxa" w:w="979"/>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left"/>
            </w:pPr>
            <w:r>
              <w:rPr>
                <w:b w:val="0"/>
                <w:sz w:val="16"/>
              </w:rPr>
              <w:t>1.85</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0.12</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-0.04</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-0.04</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-0.03</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-0.03</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-0.03</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-0.04</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r>
      <w:tr>
        <w:trPr>
          <w:cantSplit/>
        </w:trPr>
        <w:tc>
          <w:tcPr>
            <w:tcW w:type="dxa" w:w="979"/>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left"/>
            </w:pPr>
            <w:r>
              <w:rPr>
                <w:b w:val="0"/>
                <w:sz w:val="16"/>
              </w:rPr>
              <w:t>1.89</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0.08</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-0.04</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-0.04</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-0.03</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-0.03</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-0.03</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-0.03</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w:t>
            </w:r>
          </w:p>
        </w:tc>
      </w:tr>
      <w:tr>
        <w:trPr>
          <w:cantSplit/>
        </w:trPr>
        <w:tc>
          <w:tcPr>
            <w:tcW w:type="dxa" w:w="979"/>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left"/>
            </w:pPr>
            <w:r>
              <w:rPr>
                <w:b w:val="0"/>
                <w:sz w:val="16"/>
              </w:rPr>
              <w:t>1.93</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0.04</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-0.05</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-0.04</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-0.04</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-0.03</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-0.03</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-0.04</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-0.03</w:t>
            </w:r>
          </w:p>
        </w:tc>
      </w:tr>
      <w:tr>
        <w:trPr>
          <w:cantSplit/>
        </w:trPr>
        <w:tc>
          <w:tcPr>
            <w:tcW w:type="dxa" w:w="979"/>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left"/>
            </w:pPr>
            <w:r>
              <w:rPr>
                <w:b w:val="0"/>
                <w:sz w:val="16"/>
              </w:rPr>
              <w:t>1.97</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0.02</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-0.04</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-0.04</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-0.03</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-0.03</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-0.03</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-0.03</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-0.01</w:t>
            </w:r>
          </w:p>
        </w:tc>
      </w:tr>
    </w:tbl>
    <w:p>
      <w:pPr>
        <w:spacing w:line="40" w:lineRule="exact" w:after="80"/>
      </w:pPr>
      <w:r>
        <w:rPr>
          <w:sz w:val="2"/>
        </w:rPr>
      </w:r>
    </w:p>
    <w:p>
      <w:pPr>
        <w:pStyle w:val="Heading2"/>
      </w:pPr>
      <w:r>
        <w:t>面板 B 偏离无利可图的比例</w:t>
      </w:r>
    </w:p>
    <w:tbl>
      <w:tblPr>
        <w:tblW w:type="auto" w:w="0"/>
        <w:jc w:val="center"/>
        <w:tblLayout w:type="fixed"/>
        <w:tblLook w:firstColumn="1" w:firstRow="1" w:lastColumn="0" w:lastRow="0" w:noHBand="0" w:noVBand="1" w:val="04A0"/>
      </w:tblPr>
      <w:tblGrid>
        <w:gridCol w:w="979"/>
        <w:gridCol w:w="720"/>
        <w:gridCol w:w="1125"/>
        <w:gridCol w:w="1125"/>
        <w:gridCol w:w="1125"/>
        <w:gridCol w:w="1125"/>
        <w:gridCol w:w="1125"/>
        <w:gridCol w:w="1125"/>
        <w:gridCol w:w="1125"/>
      </w:tblGrid>
      <w:tr>
        <w:trPr>
          <w:cantSplit/>
          <w:tblHeader/>
        </w:trPr>
        <w:tc>
          <w:tcPr>
            <w:tcW w:type="dxa" w:w="979"/>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40" w:lineRule="exact"/>
              <w:jc w:val="left"/>
            </w:pPr>
            <w:r>
              <w:rPr>
                <w:b/>
                <w:sz w:val="16"/>
              </w:rPr>
              <w:t>冲击前价</w:t>
            </w:r>
          </w:p>
        </w:tc>
        <w:tc>
          <w:tcPr>
            <w:tcW w:type="dxa" w:w="720"/>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40" w:lineRule="exact"/>
              <w:jc w:val="center"/>
            </w:pPr>
            <w:r>
              <w:rPr>
                <w:b/>
                <w:sz w:val="16"/>
              </w:rPr>
              <w:t>频率</w:t>
            </w:r>
          </w:p>
        </w:tc>
        <w:tc>
          <w:tcPr>
            <w:tcW w:type="dxa" w:w="1125"/>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40" w:lineRule="exact"/>
              <w:jc w:val="center"/>
            </w:pPr>
            <w:r>
              <w:rPr>
                <w:b/>
                <w:sz w:val="16"/>
              </w:rPr>
              <w:t>1.43</w:t>
            </w:r>
          </w:p>
        </w:tc>
        <w:tc>
          <w:tcPr>
            <w:tcW w:type="dxa" w:w="1125"/>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40" w:lineRule="exact"/>
              <w:jc w:val="center"/>
            </w:pPr>
            <w:r>
              <w:rPr>
                <w:b/>
                <w:sz w:val="16"/>
              </w:rPr>
              <w:t>1.51</w:t>
            </w:r>
          </w:p>
        </w:tc>
        <w:tc>
          <w:tcPr>
            <w:tcW w:type="dxa" w:w="1125"/>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40" w:lineRule="exact"/>
              <w:jc w:val="center"/>
            </w:pPr>
            <w:r>
              <w:rPr>
                <w:b/>
                <w:sz w:val="16"/>
              </w:rPr>
              <w:t>1.58</w:t>
            </w:r>
          </w:p>
        </w:tc>
        <w:tc>
          <w:tcPr>
            <w:tcW w:type="dxa" w:w="1125"/>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40" w:lineRule="exact"/>
              <w:jc w:val="center"/>
            </w:pPr>
            <w:r>
              <w:rPr>
                <w:b/>
                <w:sz w:val="16"/>
              </w:rPr>
              <w:t>1.66</w:t>
            </w:r>
          </w:p>
        </w:tc>
        <w:tc>
          <w:tcPr>
            <w:tcW w:type="dxa" w:w="1125"/>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40" w:lineRule="exact"/>
              <w:jc w:val="center"/>
            </w:pPr>
            <w:r>
              <w:rPr>
                <w:b/>
                <w:sz w:val="16"/>
              </w:rPr>
              <w:t>1.74</w:t>
            </w:r>
          </w:p>
        </w:tc>
        <w:tc>
          <w:tcPr>
            <w:tcW w:type="dxa" w:w="1125"/>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40" w:lineRule="exact"/>
              <w:jc w:val="center"/>
            </w:pPr>
            <w:r>
              <w:rPr>
                <w:b/>
                <w:sz w:val="16"/>
              </w:rPr>
              <w:t>1.82</w:t>
            </w:r>
          </w:p>
        </w:tc>
        <w:tc>
          <w:tcPr>
            <w:tcW w:type="dxa" w:w="1125"/>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40" w:lineRule="exact"/>
              <w:jc w:val="center"/>
            </w:pPr>
            <w:r>
              <w:rPr>
                <w:b/>
                <w:sz w:val="16"/>
              </w:rPr>
              <w:t>1.89</w:t>
            </w:r>
          </w:p>
        </w:tc>
      </w:tr>
      <w:tr>
        <w:trPr>
          <w:cantSplit/>
        </w:trPr>
        <w:tc>
          <w:tcPr>
            <w:tcW w:type="dxa" w:w="979"/>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left"/>
            </w:pPr>
            <w:r>
              <w:rPr>
                <w:b w:val="0"/>
                <w:sz w:val="16"/>
              </w:rPr>
              <w:t>1.62</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0.01</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1.00</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1.00</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1.00</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r>
      <w:tr>
        <w:trPr>
          <w:cantSplit/>
        </w:trPr>
        <w:tc>
          <w:tcPr>
            <w:tcW w:type="dxa" w:w="979"/>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left"/>
            </w:pPr>
            <w:r>
              <w:rPr>
                <w:b w:val="0"/>
                <w:sz w:val="16"/>
              </w:rPr>
              <w:t>1.66</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0.04</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1.00</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1.00</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1.00</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r>
      <w:tr>
        <w:trPr>
          <w:cantSplit/>
        </w:trPr>
        <w:tc>
          <w:tcPr>
            <w:tcW w:type="dxa" w:w="979"/>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left"/>
            </w:pPr>
            <w:r>
              <w:rPr>
                <w:b w:val="0"/>
                <w:sz w:val="16"/>
              </w:rPr>
              <w:t>1.70</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0.12</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1.00</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1.00</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0.97</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0.94</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r>
      <w:tr>
        <w:trPr>
          <w:cantSplit/>
        </w:trPr>
        <w:tc>
          <w:tcPr>
            <w:tcW w:type="dxa" w:w="979"/>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left"/>
            </w:pPr>
            <w:r>
              <w:rPr>
                <w:b w:val="0"/>
                <w:sz w:val="16"/>
              </w:rPr>
              <w:t>1.74</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0.16</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0.98</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1.00</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0.95</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0.95</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r>
      <w:tr>
        <w:trPr>
          <w:cantSplit/>
        </w:trPr>
        <w:tc>
          <w:tcPr>
            <w:tcW w:type="dxa" w:w="979"/>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left"/>
            </w:pPr>
            <w:r>
              <w:rPr>
                <w:b w:val="0"/>
                <w:sz w:val="16"/>
              </w:rPr>
              <w:t>1.78</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0.23</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1.00</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1.00</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0.97</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0.98</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0.98</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r>
      <w:tr>
        <w:trPr>
          <w:cantSplit/>
        </w:trPr>
        <w:tc>
          <w:tcPr>
            <w:tcW w:type="dxa" w:w="979"/>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left"/>
            </w:pPr>
            <w:r>
              <w:rPr>
                <w:b w:val="0"/>
                <w:sz w:val="16"/>
              </w:rPr>
              <w:t>1.82</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0.17</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1.00</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1.00</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1.00</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0.98</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0.98</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r>
      <w:tr>
        <w:trPr>
          <w:cantSplit/>
        </w:trPr>
        <w:tc>
          <w:tcPr>
            <w:tcW w:type="dxa" w:w="979"/>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left"/>
            </w:pPr>
            <w:r>
              <w:rPr>
                <w:b w:val="0"/>
                <w:sz w:val="16"/>
              </w:rPr>
              <w:t>1.85</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0.12</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1.00</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0.97</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0.97</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0.91</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0.91</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1.00</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r>
          </w:p>
        </w:tc>
      </w:tr>
      <w:tr>
        <w:trPr>
          <w:cantSplit/>
        </w:trPr>
        <w:tc>
          <w:tcPr>
            <w:tcW w:type="dxa" w:w="979"/>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left"/>
            </w:pPr>
            <w:r>
              <w:rPr>
                <w:b w:val="0"/>
                <w:sz w:val="16"/>
              </w:rPr>
              <w:t>1.89</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0.08</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0.95</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1.00</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1.00</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0.95</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1.00</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1.00</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w:t>
            </w:r>
          </w:p>
        </w:tc>
      </w:tr>
      <w:tr>
        <w:trPr>
          <w:cantSplit/>
        </w:trPr>
        <w:tc>
          <w:tcPr>
            <w:tcW w:type="dxa" w:w="979"/>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left"/>
            </w:pPr>
            <w:r>
              <w:rPr>
                <w:b w:val="0"/>
                <w:sz w:val="16"/>
              </w:rPr>
              <w:t>1.93</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0.04</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1.00</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0.92</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1.00</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0.92</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0.92</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0.83</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1.00</w:t>
            </w:r>
          </w:p>
        </w:tc>
      </w:tr>
      <w:tr>
        <w:trPr>
          <w:cantSplit/>
        </w:trPr>
        <w:tc>
          <w:tcPr>
            <w:tcW w:type="dxa" w:w="979"/>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left"/>
            </w:pPr>
            <w:r>
              <w:rPr>
                <w:b w:val="0"/>
                <w:sz w:val="16"/>
              </w:rPr>
              <w:t>1.97</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0.02</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1.00</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1.00</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1.00</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1.00</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1.00</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1.00</w:t>
            </w:r>
          </w:p>
        </w:tc>
        <w:tc>
          <w:tcPr>
            <w:tcW w:type="dxa" w:w="11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0" w:lineRule="exact"/>
              <w:jc w:val="center"/>
            </w:pPr>
            <w:r>
              <w:rPr>
                <w:b w:val="0"/>
                <w:sz w:val="16"/>
              </w:rPr>
              <w:t>0.83</w:t>
            </w:r>
          </w:p>
        </w:tc>
      </w:tr>
    </w:tbl>
    <w:p>
      <w:pPr>
        <w:spacing w:line="40" w:lineRule="exact" w:after="80"/>
      </w:pPr>
      <w:r>
        <w:rPr>
          <w:sz w:val="2"/>
        </w:rPr>
      </w:r>
    </w:p>
    <w:p>
      <w:r>
        <w:t>折现收益从偏离当期开始计算，比较强制偏离一期后恢复原策略的路径与完全不偏离的路径。确定性策略的无限期价值通过收敛迭代求解，δ=0.95 时残差阈值为 10⁻¹¹，避免只累计前 15 期而漏掉后续收益。</w:t>
      </w:r>
    </w:p>
    <w:p>
      <w:r>
        <w:t>0 表示相同价格、没有实际偏离的对角位置；空白表示不属于降价实验。惩罚能使许多单期降价无利可图，但不能据此推出持续多期改变策略也无利可图，相关区别已在最优性诊断中报告。</w:t>
      </w:r>
    </w:p>
    <w:p>
      <w:pPr>
        <w:pStyle w:val="Heading1"/>
        <w:pageBreakBefore/>
      </w:pPr>
      <w:r>
        <w:t>已学习策略的有向图</w:t>
      </w:r>
    </w:p>
    <w:p>
      <w:pPr>
        <w:keepNext/>
        <w:spacing w:after="40"/>
        <w:jc w:val="center"/>
      </w:pPr>
      <w:r>
        <w:drawing>
          <wp:inline xmlns:a="http://schemas.openxmlformats.org/drawingml/2006/main" xmlns:pic="http://schemas.openxmlformats.org/drawingml/2006/picture">
            <wp:extent cx="5669280" cy="5260223"/>
            <wp:docPr id="10" name="Picture 10"/>
            <wp:cNvGraphicFramePr>
              <a:graphicFrameLocks noChangeAspect="1"/>
            </wp:cNvGraphicFramePr>
            <a:graphic>
              <a:graphicData uri="http://schemas.openxmlformats.org/drawingml/2006/picture">
                <pic:pic>
                  <pic:nvPicPr>
                    <pic:cNvPr id="0" name="figure08.png"/>
                    <pic:cNvPicPr/>
                  </pic:nvPicPr>
                  <pic:blipFill>
                    <a:blip r:embed="rId19"/>
                    <a:stretch>
                      <a:fillRect/>
                    </a:stretch>
                  </pic:blipFill>
                  <pic:spPr>
                    <a:xfrm>
                      <a:off x="0" y="0"/>
                      <a:ext cx="5669280" cy="5260223"/>
                    </a:xfrm>
                    <a:prstGeom prst="rect"/>
                  </pic:spPr>
                </pic:pic>
              </a:graphicData>
            </a:graphic>
          </wp:inline>
        </w:drawing>
      </w:r>
    </w:p>
    <w:p>
      <w:pPr>
        <w:pStyle w:val="Caption"/>
      </w:pPr>
      <w:r>
        <w:t>图 8  基准样本中按种子顺序选取的首个对称恒定价格且全状态可达该价格的会话。方形为吸收节点，节点大小表示介数中心性，颜色越深表示该价格状态的利润增益越高。</w:t>
      </w:r>
    </w:p>
    <w:p>
      <w:r>
        <w:t>示例会话编号为 12，对应种子 20261032。每个节点代表一对上一期价格，每条边表示双方同时执行已学策略后的下一期状态。本图展示一个实际训练出的策略图，不是对 1,000 个策略表求均值得到的虚构代表策略。</w:t>
      </w:r>
    </w:p>
    <w:p>
      <w:r>
        <w:t>在整个基准样本中，有 91.9% 的会话从全部 225 个状态出发均会进入训练末态对应的长期吸收集，平均可达状态数为 224.48。原文报告全部状态可达的会话约为 92%。</w:t>
      </w:r>
    </w:p>
    <w:p>
      <w:r>
        <w:t>较大的吸引域说明原有价格协调能够在多种扰动后恢复，但图的拓扑结构本身不能证明经济意义上的最优惩罚或均衡。它也不能说明不同会话之间的策略能够直接互换。</w:t>
      </w:r>
    </w:p>
    <w:p>
      <w:pPr>
        <w:pStyle w:val="Heading1"/>
        <w:pageBreakBefore/>
      </w:pPr>
      <w:r>
        <w:t>策略相图</w:t>
      </w:r>
    </w:p>
    <w:p>
      <w:pPr>
        <w:keepNext/>
        <w:spacing w:after="40"/>
        <w:jc w:val="center"/>
      </w:pPr>
      <w:r>
        <w:drawing>
          <wp:inline xmlns:a="http://schemas.openxmlformats.org/drawingml/2006/main" xmlns:pic="http://schemas.openxmlformats.org/drawingml/2006/picture">
            <wp:extent cx="5303520" cy="5791781"/>
            <wp:docPr id="11" name="Picture 11"/>
            <wp:cNvGraphicFramePr>
              <a:graphicFrameLocks noChangeAspect="1"/>
            </wp:cNvGraphicFramePr>
            <a:graphic>
              <a:graphicData uri="http://schemas.openxmlformats.org/drawingml/2006/picture">
                <pic:pic>
                  <pic:nvPicPr>
                    <pic:cNvPr id="0" name="figure09.png"/>
                    <pic:cNvPicPr/>
                  </pic:nvPicPr>
                  <pic:blipFill>
                    <a:blip r:embed="rId20"/>
                    <a:stretch>
                      <a:fillRect/>
                    </a:stretch>
                  </pic:blipFill>
                  <pic:spPr>
                    <a:xfrm>
                      <a:off x="0" y="0"/>
                      <a:ext cx="5303520" cy="5791781"/>
                    </a:xfrm>
                    <a:prstGeom prst="rect"/>
                  </pic:spPr>
                </pic:pic>
              </a:graphicData>
            </a:graphic>
          </wp:inline>
        </w:drawing>
      </w:r>
    </w:p>
    <w:p>
      <w:pPr>
        <w:pStyle w:val="Caption"/>
      </w:pPr>
      <w:r>
        <w:t>图 9  与前页同一会话。横纵坐标为两家企业的价格，短箭头只表示下一期变化方向，不按完整跳转距离绘制。</w:t>
      </w:r>
    </w:p>
    <w:p>
      <w:r>
        <w:t>相图把策略图节点放回价格坐标中，便于观察不同初始价格如何移动。吸收节点之外的许多状态先向较低价格区间移动，再返回长期价格附近。这与冲击响应中先发生价格战、随后恢复的路径相呼应。</w:t>
      </w:r>
    </w:p>
    <w:p>
      <w:r>
        <w:t>原文图 8 和图 9 也是单个会话的示例。本次不具备作者的原始随机种子与最终 Q 表，因而不追求节点位置或单个箭头逐一一致；本图的可核验目标是节点含义、策略转移、吸收集和总体可达性统计。SVG 文件保留矢量文本与图元，方便后续放大和编辑。</w:t>
      </w:r>
    </w:p>
    <w:p>
      <w:pPr>
        <w:pStyle w:val="Heading1"/>
        <w:pageBreakBefore/>
      </w:pPr>
      <w:r>
        <w:t>市场结构和经济参数稳健性</w:t>
      </w:r>
    </w:p>
    <w:p>
      <w:pPr>
        <w:keepNext/>
        <w:spacing w:after="40"/>
        <w:jc w:val="center"/>
      </w:pPr>
      <w:r>
        <w:drawing>
          <wp:inline xmlns:a="http://schemas.openxmlformats.org/drawingml/2006/main" xmlns:pic="http://schemas.openxmlformats.org/drawingml/2006/picture">
            <wp:extent cx="5715000" cy="4199840"/>
            <wp:docPr id="12" name="Picture 12"/>
            <wp:cNvGraphicFramePr>
              <a:graphicFrameLocks noChangeAspect="1"/>
            </wp:cNvGraphicFramePr>
            <a:graphic>
              <a:graphicData uri="http://schemas.openxmlformats.org/drawingml/2006/picture">
                <pic:pic>
                  <pic:nvPicPr>
                    <pic:cNvPr id="0" name="robustness.png"/>
                    <pic:cNvPicPr/>
                  </pic:nvPicPr>
                  <pic:blipFill>
                    <a:blip r:embed="rId21"/>
                    <a:stretch>
                      <a:fillRect/>
                    </a:stretch>
                  </pic:blipFill>
                  <pic:spPr>
                    <a:xfrm>
                      <a:off x="0" y="0"/>
                      <a:ext cx="5715000" cy="4199840"/>
                    </a:xfrm>
                    <a:prstGeom prst="rect"/>
                  </pic:spPr>
                </pic:pic>
              </a:graphicData>
            </a:graphic>
          </wp:inline>
        </w:drawing>
      </w:r>
    </w:p>
    <w:p>
      <w:pPr>
        <w:pStyle w:val="Caption"/>
      </w:pPr>
      <w:r>
        <w:t>稳健性实验  红色方块为本次均值，误差线为近似 95% 置信区间。基准点为 1,000 次，其余各点为 200 次。</w:t>
      </w:r>
    </w:p>
    <w:tbl>
      <w:tblPr>
        <w:tblW w:type="auto" w:w="0"/>
        <w:jc w:val="center"/>
        <w:tblLayout w:type="fixed"/>
        <w:tblLook w:firstColumn="1" w:firstRow="1" w:lastColumn="0" w:lastRow="0" w:noHBand="0" w:noVBand="1" w:val="04A0"/>
      </w:tblPr>
      <w:tblGrid>
        <w:gridCol w:w="3168"/>
        <w:gridCol w:w="2304"/>
        <w:gridCol w:w="1872"/>
        <w:gridCol w:w="2232"/>
      </w:tblGrid>
      <w:tr>
        <w:trPr>
          <w:cantSplit/>
          <w:tblHeader/>
        </w:trPr>
        <w:tc>
          <w:tcPr>
            <w:tcW w:type="dxa" w:w="3168"/>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left"/>
            </w:pPr>
            <w:r>
              <w:rPr>
                <w:b/>
                <w:sz w:val="18"/>
              </w:rPr>
              <w:t>设定</w:t>
            </w:r>
          </w:p>
        </w:tc>
        <w:tc>
          <w:tcPr>
            <w:tcW w:type="dxa" w:w="2304"/>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center"/>
            </w:pPr>
            <w:r>
              <w:rPr>
                <w:b/>
                <w:sz w:val="18"/>
              </w:rPr>
              <w:t>本次 Δ</w:t>
            </w:r>
          </w:p>
        </w:tc>
        <w:tc>
          <w:tcPr>
            <w:tcW w:type="dxa" w:w="1872"/>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center"/>
            </w:pPr>
            <w:r>
              <w:rPr>
                <w:b/>
                <w:sz w:val="18"/>
              </w:rPr>
              <w:t>原文 Δ</w:t>
            </w:r>
          </w:p>
        </w:tc>
        <w:tc>
          <w:tcPr>
            <w:tcW w:type="dxa" w:w="2232"/>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center"/>
            </w:pPr>
            <w:r>
              <w:rPr>
                <w:b/>
                <w:sz w:val="18"/>
              </w:rPr>
              <w:t>收敛次数</w:t>
            </w:r>
          </w:p>
        </w:tc>
      </w:tr>
      <w:tr>
        <w:trPr>
          <w:cantSplit/>
        </w:trPr>
        <w:tc>
          <w:tcPr>
            <w:tcW w:type="dxa" w:w="316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players_3</w:t>
            </w:r>
          </w:p>
        </w:tc>
        <w:tc>
          <w:tcPr>
            <w:tcW w:type="dxa" w:w="230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0.643 ± 0.007</w:t>
            </w:r>
          </w:p>
        </w:tc>
        <w:tc>
          <w:tcPr>
            <w:tcW w:type="dxa" w:w="187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0.643</w:t>
            </w:r>
          </w:p>
        </w:tc>
        <w:tc>
          <w:tcPr>
            <w:tcW w:type="dxa" w:w="223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200/200</w:t>
            </w:r>
          </w:p>
        </w:tc>
      </w:tr>
      <w:tr>
        <w:trPr>
          <w:cantSplit/>
        </w:trPr>
        <w:tc>
          <w:tcPr>
            <w:tcW w:type="dxa" w:w="316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players_4</w:t>
            </w:r>
          </w:p>
        </w:tc>
        <w:tc>
          <w:tcPr>
            <w:tcW w:type="dxa" w:w="230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0.554 ± 0.007</w:t>
            </w:r>
          </w:p>
        </w:tc>
        <w:tc>
          <w:tcPr>
            <w:tcW w:type="dxa" w:w="187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0.559</w:t>
            </w:r>
          </w:p>
        </w:tc>
        <w:tc>
          <w:tcPr>
            <w:tcW w:type="dxa" w:w="223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200/200</w:t>
            </w:r>
          </w:p>
        </w:tc>
      </w:tr>
      <w:tr>
        <w:trPr>
          <w:cantSplit/>
        </w:trPr>
        <w:tc>
          <w:tcPr>
            <w:tcW w:type="dxa" w:w="316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cost_0.875</w:t>
            </w:r>
          </w:p>
        </w:tc>
        <w:tc>
          <w:tcPr>
            <w:tcW w:type="dxa" w:w="230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0.843 ± 0.015</w:t>
            </w:r>
          </w:p>
        </w:tc>
        <w:tc>
          <w:tcPr>
            <w:tcW w:type="dxa" w:w="187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0.841</w:t>
            </w:r>
          </w:p>
        </w:tc>
        <w:tc>
          <w:tcPr>
            <w:tcW w:type="dxa" w:w="223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200/200</w:t>
            </w:r>
          </w:p>
        </w:tc>
      </w:tr>
      <w:tr>
        <w:trPr>
          <w:cantSplit/>
        </w:trPr>
        <w:tc>
          <w:tcPr>
            <w:tcW w:type="dxa" w:w="316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cost_0.75</w:t>
            </w:r>
          </w:p>
        </w:tc>
        <w:tc>
          <w:tcPr>
            <w:tcW w:type="dxa" w:w="230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0.799 ± 0.017</w:t>
            </w:r>
          </w:p>
        </w:tc>
        <w:tc>
          <w:tcPr>
            <w:tcW w:type="dxa" w:w="187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0.812</w:t>
            </w:r>
          </w:p>
        </w:tc>
        <w:tc>
          <w:tcPr>
            <w:tcW w:type="dxa" w:w="223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200/200</w:t>
            </w:r>
          </w:p>
        </w:tc>
      </w:tr>
      <w:tr>
        <w:trPr>
          <w:cantSplit/>
        </w:trPr>
        <w:tc>
          <w:tcPr>
            <w:tcW w:type="dxa" w:w="316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cost_0.625</w:t>
            </w:r>
          </w:p>
        </w:tc>
        <w:tc>
          <w:tcPr>
            <w:tcW w:type="dxa" w:w="230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0.775 ± 0.019</w:t>
            </w:r>
          </w:p>
        </w:tc>
        <w:tc>
          <w:tcPr>
            <w:tcW w:type="dxa" w:w="187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0.781</w:t>
            </w:r>
          </w:p>
        </w:tc>
        <w:tc>
          <w:tcPr>
            <w:tcW w:type="dxa" w:w="223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200/200</w:t>
            </w:r>
          </w:p>
        </w:tc>
      </w:tr>
      <w:tr>
        <w:trPr>
          <w:cantSplit/>
        </w:trPr>
        <w:tc>
          <w:tcPr>
            <w:tcW w:type="dxa" w:w="316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cost_0.5</w:t>
            </w:r>
          </w:p>
        </w:tc>
        <w:tc>
          <w:tcPr>
            <w:tcW w:type="dxa" w:w="230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0.748 ± 0.018</w:t>
            </w:r>
          </w:p>
        </w:tc>
        <w:tc>
          <w:tcPr>
            <w:tcW w:type="dxa" w:w="187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0.759</w:t>
            </w:r>
          </w:p>
        </w:tc>
        <w:tc>
          <w:tcPr>
            <w:tcW w:type="dxa" w:w="223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200/200</w:t>
            </w:r>
          </w:p>
        </w:tc>
      </w:tr>
      <w:tr>
        <w:trPr>
          <w:cantSplit/>
        </w:trPr>
        <w:tc>
          <w:tcPr>
            <w:tcW w:type="dxa" w:w="316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cost_0.25</w:t>
            </w:r>
          </w:p>
        </w:tc>
        <w:tc>
          <w:tcPr>
            <w:tcW w:type="dxa" w:w="230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0.705 ± 0.016</w:t>
            </w:r>
          </w:p>
        </w:tc>
        <w:tc>
          <w:tcPr>
            <w:tcW w:type="dxa" w:w="187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0.713</w:t>
            </w:r>
          </w:p>
        </w:tc>
        <w:tc>
          <w:tcPr>
            <w:tcW w:type="dxa" w:w="223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200/200</w:t>
            </w:r>
          </w:p>
        </w:tc>
      </w:tr>
    </w:tbl>
    <w:p>
      <w:pPr>
        <w:spacing w:line="40" w:lineRule="exact" w:after="80"/>
      </w:pPr>
      <w:r>
        <w:rPr>
          <w:sz w:val="2"/>
        </w:rPr>
      </w:r>
    </w:p>
    <w:p>
      <w:r>
        <w:t>增加企业数同时改变市场竞争强度和 Q 表规模。保持 β 不变时，每个状态动作单元得到的探索相对更少，因此不能把利润变化全部解释为经济竞争效应。成本不对称实验则还涉及利润在企业间如何分配。</w:t>
      </w:r>
    </w:p>
    <w:p>
      <w:pPr>
        <w:pStyle w:val="Heading1"/>
        <w:pageBreakBefore/>
      </w:pPr>
      <w:r>
        <w:t>表 4 成本不对称及利润分配</w:t>
      </w:r>
    </w:p>
    <w:tbl>
      <w:tblPr>
        <w:tblW w:type="auto" w:w="0"/>
        <w:jc w:val="center"/>
        <w:tblLayout w:type="fixed"/>
        <w:tblLook w:firstColumn="1" w:firstRow="1" w:lastColumn="0" w:lastRow="0" w:noHBand="0" w:noVBand="1" w:val="04A0"/>
      </w:tblPr>
      <w:tblGrid>
        <w:gridCol w:w="936"/>
        <w:gridCol w:w="1872"/>
        <w:gridCol w:w="1512"/>
        <w:gridCol w:w="1512"/>
        <w:gridCol w:w="1872"/>
        <w:gridCol w:w="1872"/>
      </w:tblGrid>
      <w:tr>
        <w:trPr>
          <w:cantSplit/>
          <w:tblHeader/>
        </w:trPr>
        <w:tc>
          <w:tcPr>
            <w:tcW w:type="dxa" w:w="936"/>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50" w:lineRule="exact"/>
              <w:jc w:val="left"/>
            </w:pPr>
            <w:r>
              <w:rPr>
                <w:b/>
                <w:sz w:val="17"/>
              </w:rPr>
              <w:t>c₂</w:t>
            </w:r>
          </w:p>
        </w:tc>
        <w:tc>
          <w:tcPr>
            <w:tcW w:type="dxa" w:w="1872"/>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50" w:lineRule="exact"/>
              <w:jc w:val="center"/>
            </w:pPr>
            <w:r>
              <w:rPr>
                <w:b/>
                <w:sz w:val="17"/>
              </w:rPr>
              <w:t>企业 2 纳什份额</w:t>
            </w:r>
          </w:p>
        </w:tc>
        <w:tc>
          <w:tcPr>
            <w:tcW w:type="dxa" w:w="1512"/>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50" w:lineRule="exact"/>
              <w:jc w:val="center"/>
            </w:pPr>
            <w:r>
              <w:rPr>
                <w:b/>
                <w:sz w:val="17"/>
              </w:rPr>
              <w:t>本次 Δ</w:t>
            </w:r>
          </w:p>
        </w:tc>
        <w:tc>
          <w:tcPr>
            <w:tcW w:type="dxa" w:w="1512"/>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50" w:lineRule="exact"/>
              <w:jc w:val="center"/>
            </w:pPr>
            <w:r>
              <w:rPr>
                <w:b/>
                <w:sz w:val="17"/>
              </w:rPr>
              <w:t>原文 Δ</w:t>
            </w:r>
          </w:p>
        </w:tc>
        <w:tc>
          <w:tcPr>
            <w:tcW w:type="dxa" w:w="1872"/>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50" w:lineRule="exact"/>
              <w:jc w:val="center"/>
            </w:pPr>
            <w:r>
              <w:rPr>
                <w:b/>
                <w:sz w:val="17"/>
              </w:rPr>
              <w:t>本次利润比</w:t>
            </w:r>
          </w:p>
        </w:tc>
        <w:tc>
          <w:tcPr>
            <w:tcW w:type="dxa" w:w="1872"/>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50" w:lineRule="exact"/>
              <w:jc w:val="center"/>
            </w:pPr>
            <w:r>
              <w:rPr>
                <w:b/>
                <w:sz w:val="17"/>
              </w:rPr>
              <w:t>原文利润比</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left"/>
            </w:pPr>
            <w:r>
              <w:rPr>
                <w:b w:val="0"/>
                <w:sz w:val="17"/>
              </w:rPr>
              <w:t>1.000</w:t>
            </w:r>
          </w:p>
        </w:tc>
        <w:tc>
          <w:tcPr>
            <w:tcW w:type="dxa" w:w="187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0.500</w:t>
            </w:r>
          </w:p>
        </w:tc>
        <w:tc>
          <w:tcPr>
            <w:tcW w:type="dxa" w:w="151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0.849</w:t>
            </w:r>
          </w:p>
        </w:tc>
        <w:tc>
          <w:tcPr>
            <w:tcW w:type="dxa" w:w="151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0.849</w:t>
            </w:r>
          </w:p>
        </w:tc>
        <w:tc>
          <w:tcPr>
            <w:tcW w:type="dxa" w:w="187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1.001</w:t>
            </w:r>
          </w:p>
        </w:tc>
        <w:tc>
          <w:tcPr>
            <w:tcW w:type="dxa" w:w="187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0.997</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left"/>
            </w:pPr>
            <w:r>
              <w:rPr>
                <w:b w:val="0"/>
                <w:sz w:val="17"/>
              </w:rPr>
              <w:t>0.875</w:t>
            </w:r>
          </w:p>
        </w:tc>
        <w:tc>
          <w:tcPr>
            <w:tcW w:type="dxa" w:w="187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0.545</w:t>
            </w:r>
          </w:p>
        </w:tc>
        <w:tc>
          <w:tcPr>
            <w:tcW w:type="dxa" w:w="151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0.843</w:t>
            </w:r>
          </w:p>
        </w:tc>
        <w:tc>
          <w:tcPr>
            <w:tcW w:type="dxa" w:w="151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0.841</w:t>
            </w:r>
          </w:p>
        </w:tc>
        <w:tc>
          <w:tcPr>
            <w:tcW w:type="dxa" w:w="187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1.057</w:t>
            </w:r>
          </w:p>
        </w:tc>
        <w:tc>
          <w:tcPr>
            <w:tcW w:type="dxa" w:w="187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1.05</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left"/>
            </w:pPr>
            <w:r>
              <w:rPr>
                <w:b w:val="0"/>
                <w:sz w:val="17"/>
              </w:rPr>
              <w:t>0.750</w:t>
            </w:r>
          </w:p>
        </w:tc>
        <w:tc>
          <w:tcPr>
            <w:tcW w:type="dxa" w:w="187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0.588</w:t>
            </w:r>
          </w:p>
        </w:tc>
        <w:tc>
          <w:tcPr>
            <w:tcW w:type="dxa" w:w="151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0.799</w:t>
            </w:r>
          </w:p>
        </w:tc>
        <w:tc>
          <w:tcPr>
            <w:tcW w:type="dxa" w:w="151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0.812</w:t>
            </w:r>
          </w:p>
        </w:tc>
        <w:tc>
          <w:tcPr>
            <w:tcW w:type="dxa" w:w="187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1.128</w:t>
            </w:r>
          </w:p>
        </w:tc>
        <w:tc>
          <w:tcPr>
            <w:tcW w:type="dxa" w:w="187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1.121</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left"/>
            </w:pPr>
            <w:r>
              <w:rPr>
                <w:b w:val="0"/>
                <w:sz w:val="17"/>
              </w:rPr>
              <w:t>0.625</w:t>
            </w:r>
          </w:p>
        </w:tc>
        <w:tc>
          <w:tcPr>
            <w:tcW w:type="dxa" w:w="187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0.627</w:t>
            </w:r>
          </w:p>
        </w:tc>
        <w:tc>
          <w:tcPr>
            <w:tcW w:type="dxa" w:w="151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0.775</w:t>
            </w:r>
          </w:p>
        </w:tc>
        <w:tc>
          <w:tcPr>
            <w:tcW w:type="dxa" w:w="151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0.781</w:t>
            </w:r>
          </w:p>
        </w:tc>
        <w:tc>
          <w:tcPr>
            <w:tcW w:type="dxa" w:w="187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1.203</w:t>
            </w:r>
          </w:p>
        </w:tc>
        <w:tc>
          <w:tcPr>
            <w:tcW w:type="dxa" w:w="187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1.193</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left"/>
            </w:pPr>
            <w:r>
              <w:rPr>
                <w:b w:val="0"/>
                <w:sz w:val="17"/>
              </w:rPr>
              <w:t>0.500</w:t>
            </w:r>
          </w:p>
        </w:tc>
        <w:tc>
          <w:tcPr>
            <w:tcW w:type="dxa" w:w="187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0.662</w:t>
            </w:r>
          </w:p>
        </w:tc>
        <w:tc>
          <w:tcPr>
            <w:tcW w:type="dxa" w:w="151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0.748</w:t>
            </w:r>
          </w:p>
        </w:tc>
        <w:tc>
          <w:tcPr>
            <w:tcW w:type="dxa" w:w="151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0.759</w:t>
            </w:r>
          </w:p>
        </w:tc>
        <w:tc>
          <w:tcPr>
            <w:tcW w:type="dxa" w:w="187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1.282</w:t>
            </w:r>
          </w:p>
        </w:tc>
        <w:tc>
          <w:tcPr>
            <w:tcW w:type="dxa" w:w="187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1.265</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left"/>
            </w:pPr>
            <w:r>
              <w:rPr>
                <w:b w:val="0"/>
                <w:sz w:val="17"/>
              </w:rPr>
              <w:t>0.250</w:t>
            </w:r>
          </w:p>
        </w:tc>
        <w:tc>
          <w:tcPr>
            <w:tcW w:type="dxa" w:w="187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0.722</w:t>
            </w:r>
          </w:p>
        </w:tc>
        <w:tc>
          <w:tcPr>
            <w:tcW w:type="dxa" w:w="151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0.705</w:t>
            </w:r>
          </w:p>
        </w:tc>
        <w:tc>
          <w:tcPr>
            <w:tcW w:type="dxa" w:w="151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0.713</w:t>
            </w:r>
          </w:p>
        </w:tc>
        <w:tc>
          <w:tcPr>
            <w:tcW w:type="dxa" w:w="187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1.435</w:t>
            </w:r>
          </w:p>
        </w:tc>
        <w:tc>
          <w:tcPr>
            <w:tcW w:type="dxa" w:w="187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1.442</w:t>
            </w:r>
          </w:p>
        </w:tc>
      </w:tr>
    </w:tbl>
    <w:p>
      <w:pPr>
        <w:spacing w:line="40" w:lineRule="exact" w:after="80"/>
      </w:pPr>
      <w:r>
        <w:rPr>
          <w:sz w:val="2"/>
        </w:rPr>
      </w:r>
    </w:p>
    <w:p>
      <w:r>
        <w:t>企业 2 的纳什份额指两种在售商品内部的销量份额，不含外部选项。利润比定义为 (π₁/π₁ᴺ)/(π₂/π₂ᴺ)，先在会话内部计算，再对会话平均。大于 1 表示企业 1 相对于自身竞争基准的利润增长倍数更高。</w:t>
      </w:r>
    </w:p>
    <w:p>
      <w:r>
        <w:t>降低企业 2 的成本会提高其竞争市场份额，但合作收益的相对分配可能偏向成本更高的企业 1。因此合计利润增益的变化不能只归因于是否成功协调，也与不对称企业之间的收益分配有关。</w:t>
      </w:r>
    </w:p>
    <w:p>
      <w:pPr>
        <w:pStyle w:val="Heading2"/>
      </w:pPr>
      <w:r>
        <w:t>质量不对称</w:t>
      </w:r>
    </w:p>
    <w:tbl>
      <w:tblPr>
        <w:tblW w:type="auto" w:w="0"/>
        <w:jc w:val="center"/>
        <w:tblLayout w:type="fixed"/>
        <w:tblLook w:firstColumn="1" w:firstRow="1" w:lastColumn="0" w:lastRow="0" w:noHBand="0" w:noVBand="1" w:val="04A0"/>
      </w:tblPr>
      <w:tblGrid>
        <w:gridCol w:w="1584"/>
        <w:gridCol w:w="2736"/>
        <w:gridCol w:w="2448"/>
        <w:gridCol w:w="2808"/>
      </w:tblGrid>
      <w:tr>
        <w:trPr>
          <w:cantSplit/>
          <w:tblHeader/>
        </w:trPr>
        <w:tc>
          <w:tcPr>
            <w:tcW w:type="dxa" w:w="1584"/>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left"/>
            </w:pPr>
            <w:r>
              <w:rPr>
                <w:b/>
                <w:sz w:val="18"/>
              </w:rPr>
              <w:t>a₂</w:t>
            </w:r>
          </w:p>
        </w:tc>
        <w:tc>
          <w:tcPr>
            <w:tcW w:type="dxa" w:w="2736"/>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center"/>
            </w:pPr>
            <w:r>
              <w:rPr>
                <w:b/>
                <w:sz w:val="18"/>
              </w:rPr>
              <w:t>企业 2 纳什份额</w:t>
            </w:r>
          </w:p>
        </w:tc>
        <w:tc>
          <w:tcPr>
            <w:tcW w:type="dxa" w:w="2448"/>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center"/>
            </w:pPr>
            <w:r>
              <w:rPr>
                <w:b/>
                <w:sz w:val="18"/>
              </w:rPr>
              <w:t>本次 Δ</w:t>
            </w:r>
          </w:p>
        </w:tc>
        <w:tc>
          <w:tcPr>
            <w:tcW w:type="dxa" w:w="2808"/>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center"/>
            </w:pPr>
            <w:r>
              <w:rPr>
                <w:b/>
                <w:sz w:val="18"/>
              </w:rPr>
              <w:t>本次利润比</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2.125</w:t>
            </w:r>
          </w:p>
        </w:tc>
        <w:tc>
          <w:tcPr>
            <w:tcW w:type="dxa" w:w="273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0.545</w:t>
            </w:r>
          </w:p>
        </w:tc>
        <w:tc>
          <w:tcPr>
            <w:tcW w:type="dxa" w:w="244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0.847</w:t>
            </w:r>
          </w:p>
        </w:tc>
        <w:tc>
          <w:tcPr>
            <w:tcW w:type="dxa" w:w="280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1.070</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2.250</w:t>
            </w:r>
          </w:p>
        </w:tc>
        <w:tc>
          <w:tcPr>
            <w:tcW w:type="dxa" w:w="273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0.588</w:t>
            </w:r>
          </w:p>
        </w:tc>
        <w:tc>
          <w:tcPr>
            <w:tcW w:type="dxa" w:w="244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0.808</w:t>
            </w:r>
          </w:p>
        </w:tc>
        <w:tc>
          <w:tcPr>
            <w:tcW w:type="dxa" w:w="280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1.117</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2.375</w:t>
            </w:r>
          </w:p>
        </w:tc>
        <w:tc>
          <w:tcPr>
            <w:tcW w:type="dxa" w:w="273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0.627</w:t>
            </w:r>
          </w:p>
        </w:tc>
        <w:tc>
          <w:tcPr>
            <w:tcW w:type="dxa" w:w="244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0.785</w:t>
            </w:r>
          </w:p>
        </w:tc>
        <w:tc>
          <w:tcPr>
            <w:tcW w:type="dxa" w:w="280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1.178</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2.500</w:t>
            </w:r>
          </w:p>
        </w:tc>
        <w:tc>
          <w:tcPr>
            <w:tcW w:type="dxa" w:w="273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0.662</w:t>
            </w:r>
          </w:p>
        </w:tc>
        <w:tc>
          <w:tcPr>
            <w:tcW w:type="dxa" w:w="244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0.760</w:t>
            </w:r>
          </w:p>
        </w:tc>
        <w:tc>
          <w:tcPr>
            <w:tcW w:type="dxa" w:w="280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1.291</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2.750</w:t>
            </w:r>
          </w:p>
        </w:tc>
        <w:tc>
          <w:tcPr>
            <w:tcW w:type="dxa" w:w="273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0.722</w:t>
            </w:r>
          </w:p>
        </w:tc>
        <w:tc>
          <w:tcPr>
            <w:tcW w:type="dxa" w:w="244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0.707</w:t>
            </w:r>
          </w:p>
        </w:tc>
        <w:tc>
          <w:tcPr>
            <w:tcW w:type="dxa" w:w="280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1.463</w:t>
            </w:r>
          </w:p>
        </w:tc>
      </w:tr>
    </w:tbl>
    <w:p>
      <w:pPr>
        <w:spacing w:line="40" w:lineRule="exact" w:after="80"/>
      </w:pPr>
      <w:r>
        <w:rPr>
          <w:sz w:val="2"/>
        </w:rPr>
      </w:r>
    </w:p>
    <w:p>
      <w:r>
        <w:t>质量实验固定 a₁=2，提高企业 2 的质量参数。较低成本与较高质量都增加企业 2 的净产品吸引力；但价格网格和基准需按各组实际参数重新求解，不能直接复制成本组的曲线充当质量组结果。</w:t>
      </w:r>
    </w:p>
    <w:p>
      <w:pPr>
        <w:pStyle w:val="Heading1"/>
        <w:pageBreakBefore/>
      </w:pPr>
      <w:r>
        <w:t>随机需求和基准定义</w:t>
      </w:r>
    </w:p>
    <w:tbl>
      <w:tblPr>
        <w:tblW w:type="auto" w:w="0"/>
        <w:jc w:val="center"/>
        <w:tblLayout w:type="fixed"/>
        <w:tblLook w:firstColumn="1" w:firstRow="1" w:lastColumn="0" w:lastRow="0" w:noHBand="0" w:noVBand="1" w:val="04A0"/>
      </w:tblPr>
      <w:tblGrid>
        <w:gridCol w:w="3384"/>
        <w:gridCol w:w="2232"/>
        <w:gridCol w:w="1728"/>
        <w:gridCol w:w="2232"/>
      </w:tblGrid>
      <w:tr>
        <w:trPr>
          <w:cantSplit/>
          <w:tblHeader/>
        </w:trPr>
        <w:tc>
          <w:tcPr>
            <w:tcW w:type="dxa" w:w="3384"/>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left"/>
            </w:pPr>
            <w:r>
              <w:rPr>
                <w:b/>
                <w:sz w:val="18"/>
              </w:rPr>
              <w:t>需求或质量设定</w:t>
            </w:r>
          </w:p>
        </w:tc>
        <w:tc>
          <w:tcPr>
            <w:tcW w:type="dxa" w:w="2232"/>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center"/>
            </w:pPr>
            <w:r>
              <w:rPr>
                <w:b/>
                <w:sz w:val="18"/>
              </w:rPr>
              <w:t>本次 Δ</w:t>
            </w:r>
          </w:p>
        </w:tc>
        <w:tc>
          <w:tcPr>
            <w:tcW w:type="dxa" w:w="1728"/>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center"/>
            </w:pPr>
            <w:r>
              <w:rPr>
                <w:b/>
                <w:sz w:val="18"/>
              </w:rPr>
              <w:t>原文 Δ</w:t>
            </w:r>
          </w:p>
        </w:tc>
        <w:tc>
          <w:tcPr>
            <w:tcW w:type="dxa" w:w="2232"/>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center"/>
            </w:pPr>
            <w:r>
              <w:rPr>
                <w:b/>
                <w:sz w:val="18"/>
              </w:rPr>
              <w:t>收敛次数</w:t>
            </w:r>
          </w:p>
        </w:tc>
      </w:tr>
      <w:tr>
        <w:trPr>
          <w:cantSplit/>
        </w:trPr>
        <w:tc>
          <w:tcPr>
            <w:tcW w:type="dxa" w:w="338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shock_0.05</w:t>
            </w:r>
          </w:p>
        </w:tc>
        <w:tc>
          <w:tcPr>
            <w:tcW w:type="dxa" w:w="223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0.849 ± 0.017</w:t>
            </w:r>
          </w:p>
        </w:tc>
        <w:tc>
          <w:tcPr>
            <w:tcW w:type="dxa" w:w="172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0.848</w:t>
            </w:r>
          </w:p>
        </w:tc>
        <w:tc>
          <w:tcPr>
            <w:tcW w:type="dxa" w:w="223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200/200</w:t>
            </w:r>
          </w:p>
        </w:tc>
      </w:tr>
      <w:tr>
        <w:trPr>
          <w:cantSplit/>
        </w:trPr>
        <w:tc>
          <w:tcPr>
            <w:tcW w:type="dxa" w:w="338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shock_0.1</w:t>
            </w:r>
          </w:p>
        </w:tc>
        <w:tc>
          <w:tcPr>
            <w:tcW w:type="dxa" w:w="223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0.847 ± 0.016</w:t>
            </w:r>
          </w:p>
        </w:tc>
        <w:tc>
          <w:tcPr>
            <w:tcW w:type="dxa" w:w="172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0.832</w:t>
            </w:r>
          </w:p>
        </w:tc>
        <w:tc>
          <w:tcPr>
            <w:tcW w:type="dxa" w:w="223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200/200</w:t>
            </w:r>
          </w:p>
        </w:tc>
      </w:tr>
      <w:tr>
        <w:trPr>
          <w:cantSplit/>
        </w:trPr>
        <w:tc>
          <w:tcPr>
            <w:tcW w:type="dxa" w:w="338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shock_0.15</w:t>
            </w:r>
          </w:p>
        </w:tc>
        <w:tc>
          <w:tcPr>
            <w:tcW w:type="dxa" w:w="223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0.828 ± 0.017</w:t>
            </w:r>
          </w:p>
        </w:tc>
        <w:tc>
          <w:tcPr>
            <w:tcW w:type="dxa" w:w="172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0.797</w:t>
            </w:r>
          </w:p>
        </w:tc>
        <w:tc>
          <w:tcPr>
            <w:tcW w:type="dxa" w:w="223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200/200</w:t>
            </w:r>
          </w:p>
        </w:tc>
      </w:tr>
      <w:tr>
        <w:trPr>
          <w:cantSplit/>
        </w:trPr>
        <w:tc>
          <w:tcPr>
            <w:tcW w:type="dxa" w:w="338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shock_0.2</w:t>
            </w:r>
          </w:p>
        </w:tc>
        <w:tc>
          <w:tcPr>
            <w:tcW w:type="dxa" w:w="223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0.840 ± 0.016</w:t>
            </w:r>
          </w:p>
        </w:tc>
        <w:tc>
          <w:tcPr>
            <w:tcW w:type="dxa" w:w="172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0.75</w:t>
            </w:r>
          </w:p>
        </w:tc>
        <w:tc>
          <w:tcPr>
            <w:tcW w:type="dxa" w:w="223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200/200</w:t>
            </w:r>
          </w:p>
        </w:tc>
      </w:tr>
      <w:tr>
        <w:trPr>
          <w:cantSplit/>
        </w:trPr>
        <w:tc>
          <w:tcPr>
            <w:tcW w:type="dxa" w:w="338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shock_0.25</w:t>
            </w:r>
          </w:p>
        </w:tc>
        <w:tc>
          <w:tcPr>
            <w:tcW w:type="dxa" w:w="223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0.824 ± 0.016</w:t>
            </w:r>
          </w:p>
        </w:tc>
        <w:tc>
          <w:tcPr>
            <w:tcW w:type="dxa" w:w="172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0.695</w:t>
            </w:r>
          </w:p>
        </w:tc>
        <w:tc>
          <w:tcPr>
            <w:tcW w:type="dxa" w:w="223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200/200</w:t>
            </w:r>
          </w:p>
        </w:tc>
      </w:tr>
    </w:tbl>
    <w:p>
      <w:pPr>
        <w:spacing w:line="40" w:lineRule="exact" w:after="80"/>
      </w:pPr>
      <w:r>
        <w:rPr>
          <w:sz w:val="2"/>
        </w:rPr>
      </w:r>
    </w:p>
    <w:p>
      <w:r>
        <w:t>质量不对称实验固定企业 1 的 a₁=2，提高企业 2 的 a₂；需求冲击实验令 a₀ 在 −a₀ᴴ、0、a₀ᴴ 三点等概率独立抽样。冲击值在企业选择价格时不可见。随机冲击只影响奖励，不额外加入状态。</w:t>
      </w:r>
    </w:p>
    <w:p>
      <w:r>
        <w:t>随机需求组的纳什和垄断参照由期望利润函数重新求解，长期收益也按期望奖励计算。这避免把需求波动引起的机械利润水平变化全部记作合谋程度变化；同时也意味着比较时必须核对作者是否采用完全相同的基准计算约定。</w:t>
      </w:r>
    </w:p>
    <w:p>
      <w:pPr>
        <w:pStyle w:val="Heading2"/>
      </w:pPr>
      <w:r>
        <w:t>固定无冲击基准的追加检验</w:t>
      </w:r>
    </w:p>
    <w:tbl>
      <w:tblPr>
        <w:tblW w:type="auto" w:w="0"/>
        <w:jc w:val="center"/>
        <w:tblLayout w:type="fixed"/>
        <w:tblLook w:firstColumn="1" w:firstRow="1" w:lastColumn="0" w:lastRow="0" w:noHBand="0" w:noVBand="1" w:val="04A0"/>
      </w:tblPr>
      <w:tblGrid>
        <w:gridCol w:w="1728"/>
        <w:gridCol w:w="2592"/>
        <w:gridCol w:w="2592"/>
        <w:gridCol w:w="2664"/>
      </w:tblGrid>
      <w:tr>
        <w:trPr>
          <w:cantSplit/>
          <w:tblHeader/>
        </w:trPr>
        <w:tc>
          <w:tcPr>
            <w:tcW w:type="dxa" w:w="1728"/>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left"/>
            </w:pPr>
            <w:r>
              <w:rPr>
                <w:b/>
                <w:sz w:val="18"/>
              </w:rPr>
              <w:t>冲击幅度</w:t>
            </w:r>
          </w:p>
        </w:tc>
        <w:tc>
          <w:tcPr>
            <w:tcW w:type="dxa" w:w="2592"/>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center"/>
            </w:pPr>
            <w:r>
              <w:rPr>
                <w:b/>
                <w:sz w:val="18"/>
              </w:rPr>
              <w:t>期望基准口径</w:t>
            </w:r>
          </w:p>
        </w:tc>
        <w:tc>
          <w:tcPr>
            <w:tcW w:type="dxa" w:w="2592"/>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center"/>
            </w:pPr>
            <w:r>
              <w:rPr>
                <w:b/>
                <w:sz w:val="18"/>
              </w:rPr>
              <w:t>固定基准口径</w:t>
            </w:r>
          </w:p>
        </w:tc>
        <w:tc>
          <w:tcPr>
            <w:tcW w:type="dxa" w:w="2664"/>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center"/>
            </w:pPr>
            <w:r>
              <w:rPr>
                <w:b/>
                <w:sz w:val="18"/>
              </w:rPr>
              <w:t>原文</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0.05</w:t>
            </w:r>
          </w:p>
        </w:tc>
        <w:tc>
          <w:tcPr>
            <w:tcW w:type="dxa" w:w="259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0.849</w:t>
            </w:r>
          </w:p>
        </w:tc>
        <w:tc>
          <w:tcPr>
            <w:tcW w:type="dxa" w:w="259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0.851</w:t>
            </w:r>
          </w:p>
        </w:tc>
        <w:tc>
          <w:tcPr>
            <w:tcW w:type="dxa" w:w="266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0.848</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0.1</w:t>
            </w:r>
          </w:p>
        </w:tc>
        <w:tc>
          <w:tcPr>
            <w:tcW w:type="dxa" w:w="259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0.847</w:t>
            </w:r>
          </w:p>
        </w:tc>
        <w:tc>
          <w:tcPr>
            <w:tcW w:type="dxa" w:w="259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0.835</w:t>
            </w:r>
          </w:p>
        </w:tc>
        <w:tc>
          <w:tcPr>
            <w:tcW w:type="dxa" w:w="266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0.832</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0.15</w:t>
            </w:r>
          </w:p>
        </w:tc>
        <w:tc>
          <w:tcPr>
            <w:tcW w:type="dxa" w:w="259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0.828</w:t>
            </w:r>
          </w:p>
        </w:tc>
        <w:tc>
          <w:tcPr>
            <w:tcW w:type="dxa" w:w="259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0.800</w:t>
            </w:r>
          </w:p>
        </w:tc>
        <w:tc>
          <w:tcPr>
            <w:tcW w:type="dxa" w:w="266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0.797</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0.2</w:t>
            </w:r>
          </w:p>
        </w:tc>
        <w:tc>
          <w:tcPr>
            <w:tcW w:type="dxa" w:w="259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0.840</w:t>
            </w:r>
          </w:p>
        </w:tc>
        <w:tc>
          <w:tcPr>
            <w:tcW w:type="dxa" w:w="259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0.756</w:t>
            </w:r>
          </w:p>
        </w:tc>
        <w:tc>
          <w:tcPr>
            <w:tcW w:type="dxa" w:w="266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0.75</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0.25</w:t>
            </w:r>
          </w:p>
        </w:tc>
        <w:tc>
          <w:tcPr>
            <w:tcW w:type="dxa" w:w="259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0.824</w:t>
            </w:r>
          </w:p>
        </w:tc>
        <w:tc>
          <w:tcPr>
            <w:tcW w:type="dxa" w:w="259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0.726</w:t>
            </w:r>
          </w:p>
        </w:tc>
        <w:tc>
          <w:tcPr>
            <w:tcW w:type="dxa" w:w="266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0.695</w:t>
            </w:r>
          </w:p>
        </w:tc>
      </w:tr>
    </w:tbl>
    <w:p>
      <w:pPr>
        <w:spacing w:line="40" w:lineRule="exact" w:after="80"/>
      </w:pPr>
      <w:r>
        <w:rPr>
          <w:sz w:val="2"/>
        </w:rPr>
      </w:r>
    </w:p>
    <w:p>
      <w:r>
        <w:t>追加口径同时保留无冲击的价格网格、Q 初始化以及利润归一化参照，仅在训练奖励中加入需求冲击。两组都完整保留，不将更接近原文的结果覆盖原组。该对照表明需求冲击的数量结论对基准定义敏感，仍有剩余差异。</w:t>
      </w:r>
    </w:p>
    <w:p>
      <w:pPr>
        <w:pStyle w:val="Heading1"/>
        <w:pageBreakBefore/>
      </w:pPr>
      <w:r>
        <w:t>产品差异与其数值边界</w:t>
      </w:r>
    </w:p>
    <w:p>
      <w:pPr>
        <w:keepNext/>
        <w:spacing w:after="40"/>
        <w:jc w:val="center"/>
      </w:pPr>
      <w:r>
        <w:drawing>
          <wp:inline xmlns:a="http://schemas.openxmlformats.org/drawingml/2006/main" xmlns:pic="http://schemas.openxmlformats.org/drawingml/2006/picture">
            <wp:extent cx="5303520" cy="2861206"/>
            <wp:docPr id="13" name="Picture 13"/>
            <wp:cNvGraphicFramePr>
              <a:graphicFrameLocks noChangeAspect="1"/>
            </wp:cNvGraphicFramePr>
            <a:graphic>
              <a:graphicData uri="http://schemas.openxmlformats.org/drawingml/2006/picture">
                <pic:pic>
                  <pic:nvPicPr>
                    <pic:cNvPr id="0" name="product_differentiation.png"/>
                    <pic:cNvPicPr/>
                  </pic:nvPicPr>
                  <pic:blipFill>
                    <a:blip r:embed="rId22"/>
                    <a:stretch>
                      <a:fillRect/>
                    </a:stretch>
                  </pic:blipFill>
                  <pic:spPr>
                    <a:xfrm>
                      <a:off x="0" y="0"/>
                      <a:ext cx="5303520" cy="2861206"/>
                    </a:xfrm>
                    <a:prstGeom prst="rect"/>
                  </pic:spPr>
                </pic:pic>
              </a:graphicData>
            </a:graphic>
          </wp:inline>
        </w:drawing>
      </w:r>
    </w:p>
    <w:p>
      <w:pPr>
        <w:pStyle w:val="Caption"/>
      </w:pPr>
      <w:r>
        <w:t>产品差异参数对照  红色为本次模拟，蓝色为原文补充表 A10 的公开汇总值；连线只用于帮助比较离散参数点。</w:t>
      </w:r>
    </w:p>
    <w:tbl>
      <w:tblPr>
        <w:tblW w:type="auto" w:w="0"/>
        <w:jc w:val="center"/>
        <w:tblLayout w:type="fixed"/>
        <w:tblLook w:firstColumn="1" w:firstRow="1" w:lastColumn="0" w:lastRow="0" w:noHBand="0" w:noVBand="1" w:val="04A0"/>
      </w:tblPr>
      <w:tblGrid>
        <w:gridCol w:w="1728"/>
        <w:gridCol w:w="3888"/>
        <w:gridCol w:w="3960"/>
      </w:tblGrid>
      <w:tr>
        <w:trPr>
          <w:cantSplit/>
          <w:tblHeader/>
        </w:trPr>
        <w:tc>
          <w:tcPr>
            <w:tcW w:type="dxa" w:w="1728"/>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left"/>
            </w:pPr>
            <w:r>
              <w:rPr>
                <w:b/>
                <w:sz w:val="18"/>
              </w:rPr>
              <w:t>μ</w:t>
            </w:r>
          </w:p>
        </w:tc>
        <w:tc>
          <w:tcPr>
            <w:tcW w:type="dxa" w:w="3888"/>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center"/>
            </w:pPr>
            <w:r>
              <w:rPr>
                <w:b/>
                <w:sz w:val="18"/>
              </w:rPr>
              <w:t>本次 Δ</w:t>
            </w:r>
          </w:p>
        </w:tc>
        <w:tc>
          <w:tcPr>
            <w:tcW w:type="dxa" w:w="3960"/>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center"/>
            </w:pPr>
            <w:r>
              <w:rPr>
                <w:b/>
                <w:sz w:val="18"/>
              </w:rPr>
              <w:t>原文 Δ</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0.01</w:t>
            </w:r>
          </w:p>
        </w:tc>
        <w:tc>
          <w:tcPr>
            <w:tcW w:type="dxa" w:w="388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0.809</w:t>
            </w:r>
          </w:p>
        </w:tc>
        <w:tc>
          <w:tcPr>
            <w:tcW w:type="dxa" w:w="396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0.805</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0.05</w:t>
            </w:r>
          </w:p>
        </w:tc>
        <w:tc>
          <w:tcPr>
            <w:tcW w:type="dxa" w:w="388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0.823</w:t>
            </w:r>
          </w:p>
        </w:tc>
        <w:tc>
          <w:tcPr>
            <w:tcW w:type="dxa" w:w="396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0.827</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0.1</w:t>
            </w:r>
          </w:p>
        </w:tc>
        <w:tc>
          <w:tcPr>
            <w:tcW w:type="dxa" w:w="388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0.840</w:t>
            </w:r>
          </w:p>
        </w:tc>
        <w:tc>
          <w:tcPr>
            <w:tcW w:type="dxa" w:w="396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0.829</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0.15</w:t>
            </w:r>
          </w:p>
        </w:tc>
        <w:tc>
          <w:tcPr>
            <w:tcW w:type="dxa" w:w="388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0.839</w:t>
            </w:r>
          </w:p>
        </w:tc>
        <w:tc>
          <w:tcPr>
            <w:tcW w:type="dxa" w:w="396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0.835</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0.2</w:t>
            </w:r>
          </w:p>
        </w:tc>
        <w:tc>
          <w:tcPr>
            <w:tcW w:type="dxa" w:w="388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0.834</w:t>
            </w:r>
          </w:p>
        </w:tc>
        <w:tc>
          <w:tcPr>
            <w:tcW w:type="dxa" w:w="396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0.839</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0.3</w:t>
            </w:r>
          </w:p>
        </w:tc>
        <w:tc>
          <w:tcPr>
            <w:tcW w:type="dxa" w:w="388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0.856</w:t>
            </w:r>
          </w:p>
        </w:tc>
        <w:tc>
          <w:tcPr>
            <w:tcW w:type="dxa" w:w="396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0.859</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0.35</w:t>
            </w:r>
          </w:p>
        </w:tc>
        <w:tc>
          <w:tcPr>
            <w:tcW w:type="dxa" w:w="388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0.857</w:t>
            </w:r>
          </w:p>
        </w:tc>
        <w:tc>
          <w:tcPr>
            <w:tcW w:type="dxa" w:w="396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0.853</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0.4</w:t>
            </w:r>
          </w:p>
        </w:tc>
        <w:tc>
          <w:tcPr>
            <w:tcW w:type="dxa" w:w="388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0.865</w:t>
            </w:r>
          </w:p>
        </w:tc>
        <w:tc>
          <w:tcPr>
            <w:tcW w:type="dxa" w:w="396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0.859</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0.45</w:t>
            </w:r>
          </w:p>
        </w:tc>
        <w:tc>
          <w:tcPr>
            <w:tcW w:type="dxa" w:w="388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0.863</w:t>
            </w:r>
          </w:p>
        </w:tc>
        <w:tc>
          <w:tcPr>
            <w:tcW w:type="dxa" w:w="396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0.86</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0.5</w:t>
            </w:r>
          </w:p>
        </w:tc>
        <w:tc>
          <w:tcPr>
            <w:tcW w:type="dxa" w:w="388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0.876</w:t>
            </w:r>
          </w:p>
        </w:tc>
        <w:tc>
          <w:tcPr>
            <w:tcW w:type="dxa" w:w="396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0.856</w:t>
            </w:r>
          </w:p>
        </w:tc>
      </w:tr>
    </w:tbl>
    <w:p>
      <w:pPr>
        <w:spacing w:line="40" w:lineRule="exact" w:after="80"/>
      </w:pPr>
      <w:r>
        <w:rPr>
          <w:sz w:val="2"/>
        </w:rPr>
      </w:r>
    </w:p>
    <w:p>
      <w:r>
        <w:t>μ 越小，产品越接近替代品。本次最小取值为 0.01，未将其冒充 μ=0 的完全同质品极限。极小 μ 处使用不同初值求解纳什一阶条件，并检查单边微小价格变动不能提高利润。</w:t>
      </w:r>
    </w:p>
    <w:p>
      <w:pPr>
        <w:pStyle w:val="Heading1"/>
        <w:pageBreakBefore/>
      </w:pPr>
      <w:r>
        <w:t>初始化 价格集合和记忆长度</w:t>
      </w:r>
    </w:p>
    <w:tbl>
      <w:tblPr>
        <w:tblW w:type="auto" w:w="0"/>
        <w:jc w:val="center"/>
        <w:tblLayout w:type="fixed"/>
        <w:tblLook w:firstColumn="1" w:firstRow="1" w:lastColumn="0" w:lastRow="0" w:noHBand="0" w:noVBand="1" w:val="04A0"/>
      </w:tblPr>
      <w:tblGrid>
        <w:gridCol w:w="3240"/>
        <w:gridCol w:w="2304"/>
        <w:gridCol w:w="1800"/>
        <w:gridCol w:w="2232"/>
      </w:tblGrid>
      <w:tr>
        <w:trPr>
          <w:cantSplit/>
          <w:tblHeader/>
        </w:trPr>
        <w:tc>
          <w:tcPr>
            <w:tcW w:type="dxa" w:w="3240"/>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left"/>
            </w:pPr>
            <w:r>
              <w:rPr>
                <w:b/>
                <w:sz w:val="18"/>
              </w:rPr>
              <w:t>设定</w:t>
            </w:r>
          </w:p>
        </w:tc>
        <w:tc>
          <w:tcPr>
            <w:tcW w:type="dxa" w:w="2304"/>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center"/>
            </w:pPr>
            <w:r>
              <w:rPr>
                <w:b/>
                <w:sz w:val="18"/>
              </w:rPr>
              <w:t>本次 Δ</w:t>
            </w:r>
          </w:p>
        </w:tc>
        <w:tc>
          <w:tcPr>
            <w:tcW w:type="dxa" w:w="1800"/>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center"/>
            </w:pPr>
            <w:r>
              <w:rPr>
                <w:b/>
                <w:sz w:val="18"/>
              </w:rPr>
              <w:t>原文 Δ</w:t>
            </w:r>
          </w:p>
        </w:tc>
        <w:tc>
          <w:tcPr>
            <w:tcW w:type="dxa" w:w="2232"/>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center"/>
            </w:pPr>
            <w:r>
              <w:rPr>
                <w:b/>
                <w:sz w:val="18"/>
              </w:rPr>
              <w:t>收敛次数</w:t>
            </w:r>
          </w:p>
        </w:tc>
      </w:tr>
      <w:tr>
        <w:trPr>
          <w:cantSplit/>
        </w:trPr>
        <w:tc>
          <w:tcPr>
            <w:tcW w:type="dxa" w:w="324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init_nash</w:t>
            </w:r>
          </w:p>
        </w:tc>
        <w:tc>
          <w:tcPr>
            <w:tcW w:type="dxa" w:w="230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0.668 ± 0.018</w:t>
            </w:r>
          </w:p>
        </w:tc>
        <w:tc>
          <w:tcPr>
            <w:tcW w:type="dxa" w:w="180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0.731</w:t>
            </w:r>
          </w:p>
        </w:tc>
        <w:tc>
          <w:tcPr>
            <w:tcW w:type="dxa" w:w="223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200/200</w:t>
            </w:r>
          </w:p>
        </w:tc>
      </w:tr>
      <w:tr>
        <w:trPr>
          <w:cantSplit/>
        </w:trPr>
        <w:tc>
          <w:tcPr>
            <w:tcW w:type="dxa" w:w="324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init_constant5</w:t>
            </w:r>
          </w:p>
        </w:tc>
        <w:tc>
          <w:tcPr>
            <w:tcW w:type="dxa" w:w="230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0.786 ± 0.019</w:t>
            </w:r>
          </w:p>
        </w:tc>
        <w:tc>
          <w:tcPr>
            <w:tcW w:type="dxa" w:w="180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0.793</w:t>
            </w:r>
          </w:p>
        </w:tc>
        <w:tc>
          <w:tcPr>
            <w:tcW w:type="dxa" w:w="223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200/200</w:t>
            </w:r>
          </w:p>
        </w:tc>
      </w:tr>
      <w:tr>
        <w:trPr>
          <w:cantSplit/>
        </w:trPr>
        <w:tc>
          <w:tcPr>
            <w:tcW w:type="dxa" w:w="324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init_constant10</w:t>
            </w:r>
          </w:p>
        </w:tc>
        <w:tc>
          <w:tcPr>
            <w:tcW w:type="dxa" w:w="230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1.000 ± 0.000</w:t>
            </w:r>
          </w:p>
        </w:tc>
        <w:tc>
          <w:tcPr>
            <w:tcW w:type="dxa" w:w="180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0.978</w:t>
            </w:r>
          </w:p>
        </w:tc>
        <w:tc>
          <w:tcPr>
            <w:tcW w:type="dxa" w:w="223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200/200</w:t>
            </w:r>
          </w:p>
        </w:tc>
      </w:tr>
      <w:tr>
        <w:trPr>
          <w:cantSplit/>
        </w:trPr>
        <w:tc>
          <w:tcPr>
            <w:tcW w:type="dxa" w:w="324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init_random</w:t>
            </w:r>
          </w:p>
        </w:tc>
        <w:tc>
          <w:tcPr>
            <w:tcW w:type="dxa" w:w="230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0.893 ± 0.014</w:t>
            </w:r>
          </w:p>
        </w:tc>
        <w:tc>
          <w:tcPr>
            <w:tcW w:type="dxa" w:w="180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0.877</w:t>
            </w:r>
          </w:p>
        </w:tc>
        <w:tc>
          <w:tcPr>
            <w:tcW w:type="dxa" w:w="223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200/200</w:t>
            </w:r>
          </w:p>
        </w:tc>
      </w:tr>
      <w:tr>
        <w:trPr>
          <w:cantSplit/>
        </w:trPr>
        <w:tc>
          <w:tcPr>
            <w:tcW w:type="dxa" w:w="324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wide_grid</w:t>
            </w:r>
          </w:p>
        </w:tc>
        <w:tc>
          <w:tcPr>
            <w:tcW w:type="dxa" w:w="230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0.827 ± 0.015</w:t>
            </w:r>
          </w:p>
        </w:tc>
        <w:tc>
          <w:tcPr>
            <w:tcW w:type="dxa" w:w="180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0.761</w:t>
            </w:r>
          </w:p>
        </w:tc>
        <w:tc>
          <w:tcPr>
            <w:tcW w:type="dxa" w:w="223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200/200</w:t>
            </w:r>
          </w:p>
        </w:tc>
      </w:tr>
      <w:tr>
        <w:trPr>
          <w:cantSplit/>
        </w:trPr>
        <w:tc>
          <w:tcPr>
            <w:tcW w:type="dxa" w:w="324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low_grid</w:t>
            </w:r>
          </w:p>
        </w:tc>
        <w:tc>
          <w:tcPr>
            <w:tcW w:type="dxa" w:w="230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0.586 ± 0.017</w:t>
            </w:r>
          </w:p>
        </w:tc>
        <w:tc>
          <w:tcPr>
            <w:tcW w:type="dxa" w:w="180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0.612</w:t>
            </w:r>
          </w:p>
        </w:tc>
        <w:tc>
          <w:tcPr>
            <w:tcW w:type="dxa" w:w="223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200/200</w:t>
            </w:r>
          </w:p>
        </w:tc>
      </w:tr>
      <w:tr>
        <w:trPr>
          <w:cantSplit/>
        </w:trPr>
        <w:tc>
          <w:tcPr>
            <w:tcW w:type="dxa" w:w="324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actions_50</w:t>
            </w:r>
          </w:p>
        </w:tc>
        <w:tc>
          <w:tcPr>
            <w:tcW w:type="dxa" w:w="230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0.710 ± 0.003</w:t>
            </w:r>
          </w:p>
        </w:tc>
        <w:tc>
          <w:tcPr>
            <w:tcW w:type="dxa" w:w="180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0.709</w:t>
            </w:r>
          </w:p>
        </w:tc>
        <w:tc>
          <w:tcPr>
            <w:tcW w:type="dxa" w:w="223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200/200</w:t>
            </w:r>
          </w:p>
        </w:tc>
      </w:tr>
      <w:tr>
        <w:trPr>
          <w:cantSplit/>
        </w:trPr>
        <w:tc>
          <w:tcPr>
            <w:tcW w:type="dxa" w:w="324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actions_100</w:t>
            </w:r>
          </w:p>
        </w:tc>
        <w:tc>
          <w:tcPr>
            <w:tcW w:type="dxa" w:w="230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0.704 ± 0.002</w:t>
            </w:r>
          </w:p>
        </w:tc>
        <w:tc>
          <w:tcPr>
            <w:tcW w:type="dxa" w:w="180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0.704</w:t>
            </w:r>
          </w:p>
        </w:tc>
        <w:tc>
          <w:tcPr>
            <w:tcW w:type="dxa" w:w="223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200/200</w:t>
            </w:r>
          </w:p>
        </w:tc>
      </w:tr>
      <w:tr>
        <w:trPr>
          <w:cantSplit/>
        </w:trPr>
        <w:tc>
          <w:tcPr>
            <w:tcW w:type="dxa" w:w="324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memory_2</w:t>
            </w:r>
          </w:p>
        </w:tc>
        <w:tc>
          <w:tcPr>
            <w:tcW w:type="dxa" w:w="230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0.678 ± 0.006</w:t>
            </w:r>
          </w:p>
        </w:tc>
        <w:tc>
          <w:tcPr>
            <w:tcW w:type="dxa" w:w="180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0.574</w:t>
            </w:r>
          </w:p>
        </w:tc>
        <w:tc>
          <w:tcPr>
            <w:tcW w:type="dxa" w:w="223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200/200</w:t>
            </w:r>
          </w:p>
        </w:tc>
      </w:tr>
    </w:tbl>
    <w:p>
      <w:pPr>
        <w:spacing w:line="40" w:lineRule="exact" w:after="80"/>
      </w:pPr>
      <w:r>
        <w:rPr>
          <w:sz w:val="2"/>
        </w:rPr>
      </w:r>
    </w:p>
    <w:p>
      <w:r>
        <w:t>init_nash 假定对手始终使用距连续纳什价格最近的网格点；本次最近点为 1.466469。作者补充材料还讨论向上近似到第三个网格点，初始化口径并非逐字节相同。constant5、constant10 分别把整个 Q 表设为 5 和 10；constant10 同时关闭随机探索。random 对每个 Q 单元独立均匀抽取 [0,10] 数值。[2]</w:t>
      </w:r>
    </w:p>
    <w:p>
      <w:r>
        <w:t>即使关闭随机探索，较高的初始 Q 值也可能诱导尝试不同动作：访问过的动作价值下降后，其他未访问动作变得相对有吸引力。因此“没有 ε 探索”不能简单理解为“没有任何学习中的动作尝试”。</w:t>
      </w:r>
    </w:p>
    <w:p>
      <w:r>
        <w:t>wide_grid 使用 ξ=0.5；low_grid 将最低价格设为 0.99，最高价保持基准；actions_50 和 actions_100 改变网格密度；memory_2 使用最近两期联合价格作为状态。后一组每家企业有 50,625 个状态和 759,375 个 Q 单元。</w:t>
      </w:r>
    </w:p>
    <w:p>
      <w:r>
        <w:t>更大的动作或记忆空间并不保证效果改善。学习时间和探索资源相同时，空间扩大可能使绝大多数单元难以充分访问。所有这些实验仍使用相同的全策略稳定窗口，而不是观察到价格几期不变便提前终止。</w:t>
      </w:r>
    </w:p>
    <w:p>
      <w:r>
        <w:t>两期记忆组的本次平均 Δ=0.678，原文为 0.574，差约 0.104。这一偏差明显大于基准组偏差，不能标为定量复现成功。状态编码已经验证；在未取得作者代码前，不能确定差异究竟来自初始化、状态或停止规则的细节，还是其他实现约定。</w:t>
      </w:r>
    </w:p>
    <w:p>
      <w:pPr>
        <w:pStyle w:val="Heading1"/>
        <w:pageBreakBefore/>
      </w:pPr>
      <w:r>
        <w:t>学习过程与重新配对</w:t>
      </w:r>
    </w:p>
    <w:p>
      <w:pPr>
        <w:keepNext/>
        <w:spacing w:after="40"/>
        <w:jc w:val="center"/>
      </w:pPr>
      <w:r>
        <w:drawing>
          <wp:inline xmlns:a="http://schemas.openxmlformats.org/drawingml/2006/main" xmlns:pic="http://schemas.openxmlformats.org/drawingml/2006/picture">
            <wp:extent cx="5074920" cy="2884291"/>
            <wp:docPr id="14" name="Picture 14"/>
            <wp:cNvGraphicFramePr>
              <a:graphicFrameLocks noChangeAspect="1"/>
            </wp:cNvGraphicFramePr>
            <a:graphic>
              <a:graphicData uri="http://schemas.openxmlformats.org/drawingml/2006/picture">
                <pic:pic>
                  <pic:nvPicPr>
                    <pic:cNvPr id="0" name="figure10.png"/>
                    <pic:cNvPicPr/>
                  </pic:nvPicPr>
                  <pic:blipFill>
                    <a:blip r:embed="rId23"/>
                    <a:stretch>
                      <a:fillRect/>
                    </a:stretch>
                  </pic:blipFill>
                  <pic:spPr>
                    <a:xfrm>
                      <a:off x="0" y="0"/>
                      <a:ext cx="5074920" cy="2884291"/>
                    </a:xfrm>
                    <a:prstGeom prst="rect"/>
                  </pic:spPr>
                </pic:pic>
              </a:graphicData>
            </a:graphic>
          </wp:inline>
        </w:drawing>
      </w:r>
    </w:p>
    <w:p>
      <w:pPr>
        <w:pStyle w:val="Caption"/>
      </w:pPr>
      <w:r>
        <w:t>图 10  每 1,000 期抽取最近 100 期利润的移动平均；蓝色虚线为探索时随机定价、否则使用向下近似纳什价的竞争参照。</w:t>
      </w:r>
    </w:p>
    <w:p>
      <w:r>
        <w:t>基准平均训练长度为 1.856 百万期。少量会话在图示上限前停止：截至 150 万期为 6.7%；其剩余绘图部分用冻结策略的周期期望利润延续，并非声称又执行了额外学习。</w:t>
      </w:r>
    </w:p>
    <w:p>
      <w:pPr>
        <w:keepNext/>
        <w:spacing w:after="40"/>
        <w:jc w:val="center"/>
      </w:pPr>
      <w:r>
        <w:drawing>
          <wp:inline xmlns:a="http://schemas.openxmlformats.org/drawingml/2006/main" xmlns:pic="http://schemas.openxmlformats.org/drawingml/2006/picture">
            <wp:extent cx="5074920" cy="2925569"/>
            <wp:docPr id="15" name="Picture 15"/>
            <wp:cNvGraphicFramePr>
              <a:graphicFrameLocks noChangeAspect="1"/>
            </wp:cNvGraphicFramePr>
            <a:graphic>
              <a:graphicData uri="http://schemas.openxmlformats.org/drawingml/2006/picture">
                <pic:pic>
                  <pic:nvPicPr>
                    <pic:cNvPr id="0" name="figure11.png"/>
                    <pic:cNvPicPr/>
                  </pic:nvPicPr>
                  <pic:blipFill>
                    <a:blip r:embed="rId24"/>
                    <a:stretch>
                      <a:fillRect/>
                    </a:stretch>
                  </pic:blipFill>
                  <pic:spPr>
                    <a:xfrm>
                      <a:off x="0" y="0"/>
                      <a:ext cx="5074920" cy="2925569"/>
                    </a:xfrm>
                    <a:prstGeom prst="rect"/>
                  </pic:spPr>
                </pic:pic>
              </a:graphicData>
            </a:graphic>
          </wp:inline>
        </w:drawing>
      </w:r>
    </w:p>
    <w:p>
      <w:pPr>
        <w:pStyle w:val="Caption"/>
      </w:pPr>
      <w:r>
        <w:t>图 11  对 1,000 对已训练算法按固定随机排列循环换伴，确保不与原搭档配对；ε=0，继续学习，每点为 100 期平均。</w:t>
      </w:r>
    </w:p>
    <w:p>
      <w:r>
        <w:t>换伴后最初 100 期平均 Δ 为 0.141，最后 100 期为 0.676。该实验区分了已经学会一般定价与已经同特定搭档协调两个概念。换伴规则和初始状态均已固定，不能据此假定所有部署环境具有相同适应速度。</w:t>
      </w:r>
    </w:p>
    <w:p>
      <w:pPr>
        <w:pStyle w:val="Heading1"/>
        <w:pageBreakBefore/>
      </w:pPr>
      <w:r>
        <w:t>多期冲击及解释边界</w:t>
      </w:r>
    </w:p>
    <w:p>
      <w:pPr>
        <w:keepNext/>
        <w:spacing w:after="40"/>
        <w:jc w:val="center"/>
      </w:pPr>
      <w:r>
        <w:drawing>
          <wp:inline xmlns:a="http://schemas.openxmlformats.org/drawingml/2006/main" xmlns:pic="http://schemas.openxmlformats.org/drawingml/2006/picture">
            <wp:extent cx="5394960" cy="3233640"/>
            <wp:docPr id="16" name="Picture 16"/>
            <wp:cNvGraphicFramePr>
              <a:graphicFrameLocks noChangeAspect="1"/>
            </wp:cNvGraphicFramePr>
            <a:graphic>
              <a:graphicData uri="http://schemas.openxmlformats.org/drawingml/2006/picture">
                <pic:pic>
                  <pic:nvPicPr>
                    <pic:cNvPr id="0" name="figureA08.png"/>
                    <pic:cNvPicPr/>
                  </pic:nvPicPr>
                  <pic:blipFill>
                    <a:blip r:embed="rId25"/>
                    <a:stretch>
                      <a:fillRect/>
                    </a:stretch>
                  </pic:blipFill>
                  <pic:spPr>
                    <a:xfrm>
                      <a:off x="0" y="0"/>
                      <a:ext cx="5394960" cy="3233640"/>
                    </a:xfrm>
                    <a:prstGeom prst="rect"/>
                  </pic:spPr>
                </pic:pic>
              </a:graphicData>
            </a:graphic>
          </wp:inline>
        </w:drawing>
      </w:r>
    </w:p>
    <w:p>
      <w:pPr>
        <w:pStyle w:val="Caption"/>
      </w:pPr>
      <w:r>
        <w:t>补充图 A8  强制企业 1 连续 5 期使用距连续纳什价最近的网格点 1.466469，随后恢复原策略；相同 1,000 次训练结果。</w:t>
      </w:r>
    </w:p>
    <w:p>
      <w:r>
        <w:t>该补充实验核验一次冲击与持续短期冲击的恢复路径是否具有相似结构。这里明确使用最近档位；因此与原补充图的强制价格档位可能不同，不将视觉完全一致作为已达成结论。</w:t>
      </w:r>
    </w:p>
    <w:p>
      <w:pPr>
        <w:pStyle w:val="Heading1"/>
      </w:pPr>
      <w:r>
        <w:t>尚未完成的原文扩展</w:t>
      </w:r>
    </w:p>
    <w:p>
      <w:r>
        <w:t>本报告未执行随机进入退出导致的可变市场结构、完全同质品 μ=0 极限、grim-trigger 初始化、线性需求、Boltzmann 探索、不对称学习率，以及三企业下大幅降低 β 的补偿性探索。未覆盖项目不并入任何复现成功比例，也未以原文结果填充本次数据。</w:t>
      </w:r>
    </w:p>
    <w:p>
      <w:r>
        <w:t>原文完整 α×β 扫描为 10,000 个参数点、每点 1,000 次，合计一千万次训练。本次网格仅覆盖其中的参数范围，计算密度和重复数量更小。均值置信区间仅反映本次种子间变异，不包含模型设定、数值定义差异或原文结果的不确定性。</w:t>
      </w:r>
    </w:p>
    <w:p>
      <w:r>
        <w:t>高价格、惩罚性价格响应以及恢复路径构成本模型内的机制证据。它们不能直接用于判断现实市场中的违法合谋，也不证明算法具有沟通意图；后者不属于本次模拟能够识别的内容。</w:t>
      </w:r>
    </w:p>
    <w:p>
      <w:pPr>
        <w:pStyle w:val="Heading1"/>
        <w:pageBreakBefore/>
      </w:pPr>
      <w:r>
        <w:t>复现方法和文件索引</w:t>
      </w:r>
    </w:p>
    <w:p>
      <w:r>
        <w:t>代码使用 Python、NumPy、SciPy、Numba 和 Matplotlib。Numba 只编译 Python 数值循环，不改变 Q-learning 更新规则；Word 由 python-docx 根据保存的统计结果生成。实际运行版本、机器信息和文件哈希记录在环境清单中。</w:t>
      </w:r>
    </w:p>
    <w:tbl>
      <w:tblPr>
        <w:tblW w:type="auto" w:w="0"/>
        <w:jc w:val="center"/>
        <w:tblLayout w:type="fixed"/>
        <w:tblLook w:firstColumn="1" w:firstRow="1" w:lastColumn="0" w:lastRow="0" w:noHBand="0" w:noVBand="1" w:val="04A0"/>
      </w:tblPr>
      <w:tblGrid>
        <w:gridCol w:w="2880"/>
        <w:gridCol w:w="6696"/>
      </w:tblGrid>
      <w:tr>
        <w:trPr>
          <w:cantSplit/>
          <w:tblHeader/>
        </w:trPr>
        <w:tc>
          <w:tcPr>
            <w:tcW w:type="dxa" w:w="2880"/>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left"/>
            </w:pPr>
            <w:r>
              <w:rPr>
                <w:b/>
                <w:sz w:val="18"/>
              </w:rPr>
              <w:t>文件或目录</w:t>
            </w:r>
          </w:p>
        </w:tc>
        <w:tc>
          <w:tcPr>
            <w:tcW w:type="dxa" w:w="6696"/>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center"/>
            </w:pPr>
            <w:r>
              <w:rPr>
                <w:b/>
                <w:sz w:val="18"/>
              </w:rPr>
              <w:t>用途</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model.py</w:t>
            </w:r>
          </w:p>
        </w:tc>
        <w:tc>
          <w:tcPr>
            <w:tcW w:type="dxa" w:w="669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需求、基准价格、Q-learning、周期识别、冲击和最优回应</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run_experiments.py</w:t>
            </w:r>
          </w:p>
        </w:tc>
        <w:tc>
          <w:tcPr>
            <w:tcW w:type="dxa" w:w="669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按固定种子运行全部实验；已完成会话可断点续跑</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postprocess.py</w:t>
            </w:r>
          </w:p>
        </w:tc>
        <w:tc>
          <w:tcPr>
            <w:tcW w:type="dxa" w:w="669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一期偏离诊断、策略图统计、重新配对和补充冲击</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run_shock_sensitivity.py</w:t>
            </w:r>
          </w:p>
        </w:tc>
        <w:tc>
          <w:tcPr>
            <w:tcW w:type="dxa" w:w="669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随机需求基准口径的追加对照</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make_figures.py</w:t>
            </w:r>
          </w:p>
        </w:tc>
        <w:tc>
          <w:tcPr>
            <w:tcW w:type="dxa" w:w="669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由保存结果生成全部图形、汇总 CSV 与 summary.json</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build_report.py</w:t>
            </w:r>
          </w:p>
        </w:tc>
        <w:tc>
          <w:tcPr>
            <w:tcW w:type="dxa" w:w="669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从 summary.json 和图形生成本 Word 报告</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tests/verify.py</w:t>
            </w:r>
          </w:p>
        </w:tc>
        <w:tc>
          <w:tcPr>
            <w:tcW w:type="dxa" w:w="669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数值基准、解析解、执行等价性与同种子重复检查</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results/baseline</w:t>
            </w:r>
          </w:p>
        </w:tc>
        <w:tc>
          <w:tcPr>
            <w:tcW w:type="dxa" w:w="669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1,000 次基准会话的 Q 表、策略、周期、轨迹和元数据</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figures</w:t>
            </w:r>
          </w:p>
        </w:tc>
        <w:tc>
          <w:tcPr>
            <w:tcW w:type="dxa" w:w="669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300 dpi PNG 与可编辑 SVG 图形</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results/*.csv</w:t>
            </w:r>
          </w:p>
        </w:tc>
        <w:tc>
          <w:tcPr>
            <w:tcW w:type="dxa" w:w="669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图表数据、逐次会话结果和原文表格对应矩阵</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README.md / requirements.txt</w:t>
            </w:r>
          </w:p>
        </w:tc>
        <w:tc>
          <w:tcPr>
            <w:tcW w:type="dxa" w:w="669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安装、执行顺序、计算规模和指标定义</w:t>
            </w:r>
          </w:p>
        </w:tc>
      </w:tr>
    </w:tbl>
    <w:p>
      <w:pPr>
        <w:spacing w:line="40" w:lineRule="exact" w:after="80"/>
      </w:pPr>
      <w:r>
        <w:rPr>
          <w:sz w:val="2"/>
        </w:rPr>
      </w:r>
    </w:p>
    <w:p>
      <w:r>
        <w:t>常规环境中先建立 Python 虚拟环境并安装 requirements.txt，随后按 README 中的命令执行。完整参数网格可通过 --grid-size 100 --grid-sessions 1000 --results-dir results_full 配置，避免混合不同规模的数据。</w:t>
      </w:r>
    </w:p>
    <w:p>
      <w:r>
        <w:t>有效性检查包括：连续纳什与垄断价格；价格网格端点；随机对手初始化；Numba 与逐行解释执行在同一 2,000 期轨迹上的一致性；固定策略折现价值与解析解；动态最优回应与解析解；双期记忆编码；完整基准会话同种子重跑完全一致。动态最优回应还与独立线性规划解交叉核验。这些检查通过说明实现满足所列条件，不意味着已经验证所有经济结论。</w:t>
      </w:r>
    </w:p>
    <w:p>
      <w:r>
        <w:t>基准种子为 20261020 至 20262019；网格、折现与稳健性实验使用不同的固定种子区间，详细起点在每组 config.json 中。置信区间按会话聚合，不把单个会话的数百万期互动视作独立样本。</w:t>
      </w:r>
    </w:p>
    <w:p>
      <w:pPr>
        <w:pStyle w:val="Heading1"/>
        <w:pageBreakBefore/>
      </w:pPr>
      <w:r>
        <w:t>资料来源和检阅结论</w:t>
      </w:r>
    </w:p>
    <w:p>
      <w:r>
        <w:t>[1] Calvano, E., Calzolari, G., Denicolò, V., &amp; Pastorello, S. (2020). Artificial Intelligence, Algorithmic Pricing, and Collusion. American Economic Review, 110(10), 3267–3297. https://doi.org/10.1257/aer.20190623</w:t>
      </w:r>
    </w:p>
    <w:p>
      <w:r>
        <w:t>[2] 作者 Online Appendix，May 2020，24 页。https://www.aeaweb.org/articles/materials/13398</w:t>
      </w:r>
    </w:p>
    <w:p>
      <w:r>
        <w:t>[3] 作者复现包登记。https://doi.org/10.3886/E119462V1 。本次核实登记链接，下载入口返回 HTTP 403；未声称已运行该包。</w:t>
      </w:r>
    </w:p>
    <w:p>
      <w:r>
        <w:t>[4] Matteo Courthoud. Algorithmic-Collusion-Replication. 公开 Python、MATLAB、Julia 示例。https://github.com/matteocourthoud/Algorithmic-Collusion-Replication 。审阅提交 fcb04bf90d43a30556533a5d7233e0e00943f7cc，MIT 许可。</w:t>
      </w:r>
    </w:p>
    <w:p>
      <w:r>
        <w:t>以上资料于 2026 年 10 月 20 日检索。正文和作者附录构成模型与原始比较值的主要依据；第三方示例仅用于检查实现路径。本次模型为独立编写，未把第三方运行结果作为本次实验结果。</w:t>
      </w:r>
    </w:p>
    <w:p>
      <w:pPr>
        <w:pStyle w:val="Heading1"/>
      </w:pPr>
      <w:r>
        <w:t>可以确认的结论</w:t>
      </w:r>
    </w:p>
    <w:p>
      <w:r>
        <w:t>在本次基准环境中，平均利润增益 0.8490 与原文 0.849 基本一致；价格分布、周期行为、降价后的短期竞争反应和逐步恢复支持原文的主要模拟现象。大规模重复和明确的周期权重处理，使这一结果不依赖单个展示种子。</w:t>
      </w:r>
    </w:p>
    <w:p>
      <w:pPr>
        <w:pStyle w:val="Heading1"/>
      </w:pPr>
      <w:r>
        <w:t>需要保留的限定</w:t>
      </w:r>
    </w:p>
    <w:p>
      <w:r>
        <w:t>图 4 的冲击价格存在图示与正文定义不完全一致的问题，本报告同时提供两种透明实现。一期偏离诊断与严格动态最优回应具有不同的偏离集合，不能互换解释。参数扫描重复规模缩小，部分扩展未执行，因此本报告应称为核心实验及主要稳健性实验的独立复现，而不是全篇所有计算逐项等量重跑。</w:t>
      </w:r>
    </w:p>
    <w:p>
      <w:r>
        <w:t>后续如用于论文或正式汇报，建议优先检查本报告的实验覆盖、图 4 冲击定义和最优性诊断三处，再决定是否追加完整参数网格、作者包逐行审计或未覆盖扩展。</w:t>
      </w:r>
    </w:p>
    <w:sectPr w:rsidR="00FC693F" w:rsidRPr="0006063C" w:rsidSect="00034616">
      <w:footerReference w:type="default" r:id="rId9"/>
      <w:pgSz w:w="11906" w:h="16838"/>
      <w:pgMar w:top="1077" w:right="1134" w:bottom="1077"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napToGrid w:val="0"/>
      <w:spacing w:line="288" w:lineRule="auto" w:after="120"/>
      <w:ind w:firstLine="0" w:left="0" w:right="0"/>
    </w:pPr>
    <w:rPr>
      <w:rFonts w:ascii="Times New Roman" w:hAnsi="Times New Roman" w:eastAsia="Noto Sans CJK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snapToGrid w:val="0"/>
    </w:pPr>
    <w:rPr>
      <w:rFonts w:ascii="Times New Roman" w:hAnsi="Times New Roman" w:eastAsia="Noto Sans CJK S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60"/>
      <w:outlineLvl w:val="1"/>
      <w:snapToGrid w:val="0"/>
    </w:pPr>
    <w:rPr>
      <w:rFonts w:ascii="Times New Roman" w:hAnsi="Times New Roman" w:eastAsia="Noto Sans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snapToGrid w:val="0"/>
    </w:pPr>
    <w:rPr>
      <w:rFonts w:ascii="Times New Roman" w:hAnsi="Times New Roman" w:eastAsia="Noto Sans CJK SC"/>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pPr>
    <w:rPr>
      <w:rFonts w:ascii="Times New Roman" w:hAnsi="Times New Roman" w:eastAsia="Noto Sans CJK S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snapToGrid w:val="0"/>
    </w:pPr>
    <w:rPr>
      <w:rFonts w:ascii="Times New Roman" w:hAnsi="Times New Roman" w:eastAsia="Noto Sans CJK SC"/>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人工智能算法定价与合谋 Python 实验复现报告</dc:title>
  <dc:subject>Calvano et al. 2020 实验结果与复现检阅</dc:subject>
  <dc:creator>Python 复现实验</dc:creator>
  <cp:keywords/>
  <dc:description>generated by python-docx</dc:description>
  <cp:lastModifiedBy/>
  <cp:revision>1</cp:revision>
  <dcterms:created xsi:type="dcterms:W3CDTF">2013-12-23T23:15:00Z</dcterms:created>
  <dcterms:modified xsi:type="dcterms:W3CDTF">2013-12-23T23:15:00Z</dcterms:modified>
  <cp:category/>
</cp:coreProperties>
</file>