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veriq--cedar"/>
    <w:p>
      <w:pPr>
        <w:pStyle w:val="Title"/>
      </w:pPr>
      <w:r>
        <w:t xml:space="preserve">VERIQ + CEDAR</w:t>
      </w:r>
    </w:p>
    <w:bookmarkStart w:id="20" w:name="X15bfbe7d08da16c6c4439b22be61abf3b4756f3"/>
    <w:p>
      <w:pPr>
        <w:pStyle w:val="Heading2"/>
      </w:pPr>
      <w:r>
        <w:t xml:space="preserve">Usaamah — Frontend Build Specification v1.1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Usaamah ·</w:t>
      </w:r>
      <w:r>
        <w:t xml:space="preserve"> </w:t>
      </w:r>
      <w:r>
        <w:rPr>
          <w:b/>
          <w:bCs/>
        </w:rPr>
        <w:t xml:space="preserve">Workstream:</w:t>
      </w:r>
      <w:r>
        <w:t xml:space="preserve"> </w:t>
      </w:r>
      <w:r>
        <w:t xml:space="preserve">Frontend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Team implementation handoff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15 October 2026</w:t>
      </w:r>
      <w:r>
        <w:br/>
      </w:r>
      <w:r>
        <w:rPr>
          <w:b/>
          <w:bCs/>
        </w:rPr>
        <w:t xml:space="preserve">Primary stack:</w:t>
      </w:r>
      <w:r>
        <w:t xml:space="preserve"> </w:t>
      </w:r>
      <w:r>
        <w:t xml:space="preserve">Next.js + TypeScript; one web application with distinct Cedar and Veriq experiences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One unified hackathon demo, two acts, one simulated Cedar environment</w:t>
      </w:r>
      <w:r>
        <w:br/>
      </w:r>
      <w:r>
        <w:rPr>
          <w:b/>
          <w:bCs/>
        </w:rPr>
        <w:t xml:space="preserve">Canonical references:</w:t>
      </w:r>
      <w:r>
        <w:t xml:space="preserve"> </w:t>
      </w:r>
      <w:r>
        <w:rPr>
          <w:rStyle w:val="VerbatimChar"/>
        </w:rPr>
        <w:t xml:space="preserve">Veriq_Cedar_Engineering_Specification_v1.0.md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Veriq_Cedar_API_Contract_v1.0.yaml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Veriq_Cedar_Demo_Contract_v1.0.json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Yes, Cedar has a real interactive customer app</w:t>
      </w:r>
      <w:r>
        <w:t xml:space="preserve"> </w:t>
      </w:r>
      <w:r>
        <w:t xml:space="preserve">within the simulation: the user signs into a</w:t>
      </w:r>
      <w:r>
        <w:t xml:space="preserve"> </w:t>
      </w:r>
      <w:r>
        <w:rPr>
          <w:i/>
          <w:iCs/>
        </w:rPr>
        <w:t xml:space="preserve">synthetic</w:t>
      </w:r>
      <w:r>
        <w:t xml:space="preserve"> </w:t>
      </w:r>
      <w:r>
        <w:t xml:space="preserve">account, sees a server-backed balance, looks up a fictional beneficiary, initiates a transfer, sees an unresolved outcome, submits a complaint, and later sees a confirmed outcome. There are no real-money rails, real customers or real NIBSS calls. Never fake these state changes exclusively in the frontend.</w:t>
      </w:r>
    </w:p>
    <w:bookmarkEnd w:id="20"/>
    <w:bookmarkStart w:id="21" w:name="X71970f32e8a7498cd8167233175974959dd1efb"/>
    <w:p>
      <w:pPr>
        <w:pStyle w:val="Heading2"/>
      </w:pPr>
      <w:r>
        <w:t xml:space="preserve">1. The product and why the two interfaces exist</w:t>
      </w:r>
    </w:p>
    <w:p>
      <w:pPr>
        <w:pStyle w:val="FirstParagraph"/>
      </w:pPr>
      <w:r>
        <w:rPr>
          <w:b/>
          <w:bCs/>
        </w:rPr>
        <w:t xml:space="preserve">Cedar</w:t>
      </w:r>
      <w:r>
        <w:t xml:space="preserve"> </w:t>
      </w:r>
      <w:r>
        <w:t xml:space="preserve">is a fictional Nigerian digital bank. Its app is the</w:t>
      </w:r>
      <w:r>
        <w:t xml:space="preserve"> </w:t>
      </w:r>
      <w:r>
        <w:rPr>
          <w:i/>
          <w:iCs/>
        </w:rPr>
        <w:t xml:space="preserve">customer experience</w:t>
      </w:r>
      <w:r>
        <w:t xml:space="preserve">, not the intelligence product.</w:t>
      </w:r>
      <w:r>
        <w:t xml:space="preserve"> </w:t>
      </w:r>
      <w:r>
        <w:rPr>
          <w:b/>
          <w:bCs/>
        </w:rPr>
        <w:t xml:space="preserve">Veriq</w:t>
      </w:r>
      <w:r>
        <w:t xml:space="preserve"> </w:t>
      </w:r>
      <w:r>
        <w:t xml:space="preserve">is the separate intelligence platform consumed by bank investigators and the demo operator. The UX must visibly connect them: evidence gathered from Cedar during onboarding is reused in Veriq's investigation of a later Cedar transfer.</w:t>
      </w:r>
    </w:p>
    <w:p>
      <w:pPr>
        <w:pStyle w:val="BodyText"/>
      </w:pPr>
      <w:r>
        <w:rPr>
          <w:b/>
          <w:bCs/>
        </w:rPr>
        <w:t xml:space="preserve">Cedar customer job:</w:t>
      </w:r>
      <w:r>
        <w:t xml:space="preserve"> </w:t>
      </w:r>
      <w:r>
        <w:t xml:space="preserve">Send a synthetic interbank transfer, understand the status truthfully, and report a problem without repeating known transfer information.</w:t>
      </w:r>
    </w:p>
    <w:p>
      <w:pPr>
        <w:pStyle w:val="BodyText"/>
      </w:pPr>
      <w:r>
        <w:rPr>
          <w:b/>
          <w:bCs/>
        </w:rPr>
        <w:t xml:space="preserve">Veriq investigator job:</w:t>
      </w:r>
      <w:r>
        <w:t xml:space="preserve"> </w:t>
      </w:r>
      <w:r>
        <w:t xml:space="preserve">View Cedar's uploaded sources and constructed context, observe changing route health, inspect a suspected incident, see a customer case with evidence and AI hypotheses, and record authorized human decisions.</w:t>
      </w:r>
    </w:p>
    <w:p>
      <w:pPr>
        <w:pStyle w:val="BodyText"/>
      </w:pPr>
      <w:r>
        <w:rPr>
          <w:b/>
          <w:bCs/>
        </w:rPr>
        <w:t xml:space="preserve">Demo operator job:</w:t>
      </w:r>
      <w:r>
        <w:t xml:space="preserve"> </w:t>
      </w:r>
      <w:r>
        <w:t xml:space="preserve">Trigger an authorized synthetic scenario, seed/replay events, and later reveal a simulated bank-authorized status response; never perform those actions as an ordinary customer.</w:t>
      </w:r>
    </w:p>
    <w:bookmarkEnd w:id="21"/>
    <w:bookmarkStart w:id="22" w:name="Xf2ae0fea23370b5c3ca790907b0d757d9ef0e79"/>
    <w:p>
      <w:pPr>
        <w:pStyle w:val="Heading2"/>
      </w:pPr>
      <w:r>
        <w:t xml:space="preserve">2. Repository and ownership</w:t>
      </w:r>
    </w:p>
    <w:p>
      <w:pPr>
        <w:pStyle w:val="Compact"/>
        <w:numPr>
          <w:ilvl w:val="0"/>
          <w:numId w:val="1001"/>
        </w:numPr>
      </w:pPr>
      <w:r>
        <w:t xml:space="preserve">Work primarily under</w:t>
      </w:r>
      <w:r>
        <w:t xml:space="preserve"> </w:t>
      </w:r>
      <w:r>
        <w:rPr>
          <w:rStyle w:val="VerbatimChar"/>
        </w:rPr>
        <w:t xml:space="preserve">apps/web/</w:t>
      </w:r>
      <w:r>
        <w:t xml:space="preserve"> </w:t>
      </w:r>
      <w:r>
        <w:t xml:space="preserve">in the shared</w:t>
      </w:r>
      <w:r>
        <w:t xml:space="preserve"> </w:t>
      </w:r>
      <w:r>
        <w:rPr>
          <w:rStyle w:val="VerbatimChar"/>
        </w:rPr>
        <w:t xml:space="preserve">veriq-cedar/</w:t>
      </w:r>
      <w:r>
        <w:t xml:space="preserve"> </w:t>
      </w:r>
      <w:r>
        <w:t xml:space="preserve">monorepo. Coordinate changes to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t xml:space="preserve">with Daniel and Habeeb; do not silently alter API field names.</w:t>
      </w:r>
    </w:p>
    <w:p>
      <w:pPr>
        <w:pStyle w:val="Compact"/>
        <w:numPr>
          <w:ilvl w:val="0"/>
          <w:numId w:val="1001"/>
        </w:numPr>
      </w:pPr>
      <w:r>
        <w:t xml:space="preserve">Use one Next.js application with distinct route groups/layouts:</w:t>
      </w:r>
      <w:r>
        <w:t xml:space="preserve"> </w:t>
      </w:r>
      <w:r>
        <w:rPr>
          <w:rStyle w:val="VerbatimChar"/>
        </w:rPr>
        <w:t xml:space="preserve">/cedar/*</w:t>
      </w:r>
      <w:r>
        <w:t xml:space="preserve"> </w:t>
      </w:r>
      <w:r>
        <w:t xml:space="preserve">for customer banking and</w:t>
      </w:r>
      <w:r>
        <w:t xml:space="preserve"> </w:t>
      </w:r>
      <w:r>
        <w:rPr>
          <w:rStyle w:val="VerbatimChar"/>
        </w:rPr>
        <w:t xml:space="preserve">/veriq/*</w:t>
      </w:r>
      <w:r>
        <w:t xml:space="preserve"> </w:t>
      </w:r>
      <w:r>
        <w:t xml:space="preserve">for bank intelligence. A restricted</w:t>
      </w:r>
      <w:r>
        <w:t xml:space="preserve"> </w:t>
      </w:r>
      <w:r>
        <w:rPr>
          <w:rStyle w:val="VerbatimChar"/>
        </w:rPr>
        <w:t xml:space="preserve">/demo/*</w:t>
      </w:r>
      <w:r>
        <w:t xml:space="preserve"> </w:t>
      </w:r>
      <w:r>
        <w:t xml:space="preserve">operator surface may share the Veriq shell but must enforce role checks on the backend.</w:t>
      </w:r>
    </w:p>
    <w:p>
      <w:pPr>
        <w:pStyle w:val="Compact"/>
        <w:numPr>
          <w:ilvl w:val="0"/>
          <w:numId w:val="1001"/>
        </w:numPr>
      </w:pPr>
      <w:r>
        <w:t xml:space="preserve">Keep API calls in typed client modules (</w:t>
      </w:r>
      <w:r>
        <w:rPr>
          <w:rStyle w:val="VerbatimChar"/>
        </w:rPr>
        <w:t xml:space="preserve">lib/api/cedar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lib/api/veriq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lib/api/demo</w:t>
      </w:r>
      <w:r>
        <w:t xml:space="preserve">), not scattered through components. Read base URLs from environment variables.</w:t>
      </w:r>
    </w:p>
    <w:p>
      <w:pPr>
        <w:pStyle w:val="Compact"/>
        <w:numPr>
          <w:ilvl w:val="0"/>
          <w:numId w:val="1001"/>
        </w:numPr>
      </w:pPr>
      <w:r>
        <w:t xml:space="preserve">Use the OpenAPI source as the authority for actual request/response shapes; generate TypeScript types where practical. Mocks must exactly match contract schemas and must be replaceable by the real API client.</w:t>
      </w:r>
    </w:p>
    <w:p>
      <w:pPr>
        <w:pStyle w:val="Compact"/>
        <w:numPr>
          <w:ilvl w:val="0"/>
          <w:numId w:val="1001"/>
        </w:numPr>
      </w:pPr>
      <w:r>
        <w:t xml:space="preserve">Do not create ledger calculations, incident detection or financial outcome inference in React. Display authoritative server data and permitted derived presentation only.</w:t>
      </w:r>
    </w:p>
    <w:bookmarkEnd w:id="22"/>
    <w:bookmarkStart w:id="24" w:name="Xf2d463ccda40b1caed9a397d64efc7b5eba2c1c"/>
    <w:p>
      <w:pPr>
        <w:pStyle w:val="Heading2"/>
      </w:pPr>
      <w:r>
        <w:t xml:space="preserve">3. Required Cedar customer experience (P0)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3" w:color="DCE5E1"/>
          <w:left w:val="nil" w:sz="3" w:color="DCE5E1"/>
          <w:bottom w:val="single" w:sz="3" w:color="DCE5E1"/>
          <w:right w:val="nil" w:sz="3" w:color="DCE5E1"/>
          <w:insideH w:val="single" w:sz="3" w:color="DCE5E1"/>
          <w:insideV w:val="nil" w:sz="3" w:color="DCE5E1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vAlign w:val="center"/>
            <w:shd w:fill="DCEAE5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b/>
                <w:sz w:val="14"/>
              </w:rPr>
              <w:t xml:space="preserve">Screen</w:t>
            </w:r>
          </w:p>
        </w:tc>
        <w:tc>
          <w:tcPr>
            <w:vAlign w:val="center"/>
            <w:shd w:fill="DCEAE5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b/>
                <w:sz w:val="14"/>
              </w:rPr>
              <w:t xml:space="preserve">User can do</w:t>
            </w:r>
          </w:p>
        </w:tc>
        <w:tc>
          <w:tcPr>
            <w:vAlign w:val="center"/>
            <w:shd w:fill="DCEAE5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b/>
                <w:sz w:val="14"/>
              </w:rPr>
              <w:t xml:space="preserve">Exact behavior to demonstrate</w:t>
            </w:r>
          </w:p>
        </w:tc>
        <w:tc>
          <w:tcPr>
            <w:vAlign w:val="center"/>
            <w:shd w:fill="DCEAE5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b/>
                <w:sz w:val="14"/>
              </w:rPr>
              <w:t xml:space="preserve">Data source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Demo sign-in / session entry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Select or sign into a seeded synthetic Cedar customer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Session produces a server-enforced customer identity; never choose someone else's account client-side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Auth/session agreement — see contract gaps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Account home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View name, NGN balance, actions, recent activity if API supports it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Balance comes from backend; display kobo as NGN, do not calculate debit locally as authoritative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Aptos" w:hAnsi="Aptos"/>
                <w:sz w:val="14"/>
              </w:rPr>
              <w:t xml:space="preserve">GET /v1/cedar/accounts/me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Send money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Choose Elm or Birch; input account; request name enquiry; enter amount and narration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Must resolve fictional recipient before confirmation; the hero amount is ₦50,000 (5,000,000 kobo)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Aptos" w:hAnsi="Aptos"/>
                <w:sz w:val="14"/>
              </w:rPr>
              <w:t xml:space="preserve">GET /v1/cedar/banks</w:t>
            </w:r>
            <w:r>
              <w:rPr>
                <w:rFonts w:ascii="Aptos" w:hAnsi="Aptos"/>
                <w:sz w:val="14"/>
              </w:rPr>
              <w:t xml:space="preserve">,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Style w:val="VerbatimChar"/>
                <w:rFonts w:ascii="Aptos" w:hAnsi="Aptos"/>
                <w:sz w:val="14"/>
              </w:rPr>
              <w:t xml:space="preserve">POST /v1/cedar/name-enquiries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Transfer confirmation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Review recipient bank/account/name and amount, submit once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Create/preserve an idempotency key for retry; disable duplicate action while pending; backend controls scenario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Aptos" w:hAnsi="Aptos"/>
                <w:sz w:val="14"/>
              </w:rPr>
              <w:t xml:space="preserve">POST /v1/cedar/transfers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Transfer details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Review actual debit and processing/result state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For response loss show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Fonts w:ascii="Aptos" w:hAnsi="Aptos"/>
                <w:b/>
                <w:bCs/>
                <w:sz w:val="14"/>
              </w:rPr>
              <w:t xml:space="preserve">UNKNOWN / Awaiting confirmation</w:t>
            </w:r>
            <w:r>
              <w:rPr>
                <w:rFonts w:ascii="Aptos" w:hAnsi="Aptos"/>
                <w:sz w:val="14"/>
              </w:rPr>
              <w:t xml:space="preserve">, NOT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Style w:val="VerbatimChar"/>
                <w:rFonts w:ascii="Aptos" w:hAnsi="Aptos"/>
                <w:sz w:val="14"/>
              </w:rPr>
              <w:t xml:space="preserve">FAILED</w:t>
            </w:r>
            <w:r>
              <w:rPr>
                <w:rFonts w:ascii="Aptos" w:hAnsi="Aptos"/>
                <w:sz w:val="14"/>
              </w:rPr>
              <w:t xml:space="preserve">,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Style w:val="VerbatimChar"/>
                <w:rFonts w:ascii="Aptos" w:hAnsi="Aptos"/>
                <w:sz w:val="14"/>
              </w:rPr>
              <w:t xml:space="preserve">REVERSED</w:t>
            </w:r>
            <w:r>
              <w:rPr>
                <w:rFonts w:ascii="Aptos" w:hAnsi="Aptos"/>
                <w:sz w:val="14"/>
              </w:rPr>
              <w:t xml:space="preserve">, or a fake ETA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Aptos" w:hAnsi="Aptos"/>
                <w:sz w:val="14"/>
              </w:rPr>
              <w:t xml:space="preserve">GET /v1/cedar/transfers/{transferId}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Report a problem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Select known transfer and describe what happened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Pass transfer ID automatically, create a persisted case even when AI fails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Aptos" w:hAnsi="Aptos"/>
                <w:sz w:val="14"/>
              </w:rPr>
              <w:t xml:space="preserve">POST /v1/cedar/complaints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Complaint tracking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Check case reference, status and customer-safe updates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Display only customer-permitted updates; refresh or poll; later render confirmed credit after authorized evidence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Aptos" w:hAnsi="Aptos"/>
                <w:sz w:val="14"/>
              </w:rPr>
              <w:t xml:space="preserve">GET /v1/cedar/complaints/{caseId}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Fonts w:ascii="Aptos" w:hAnsi="Aptos"/>
                <w:sz w:val="14"/>
              </w:rPr>
              <w:t xml:space="preserve">+ transfer details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Suggested customer copy:</w:t>
      </w:r>
      <w:r>
        <w:t xml:space="preserve"> </w:t>
      </w:r>
      <w:r>
        <w:t xml:space="preserve">On response loss, say</w:t>
      </w:r>
      <w:r>
        <w:t xml:space="preserve"> </w:t>
      </w:r>
      <w:r>
        <w:rPr>
          <w:i/>
          <w:iCs/>
        </w:rPr>
        <w:t xml:space="preserve">“Your account was debited. We're still confirming the final transfer outcome.”</w:t>
      </w:r>
      <w:r>
        <w:t xml:space="preserve"> </w:t>
      </w:r>
      <w:r>
        <w:t xml:space="preserve">Never instruct the sender to repeat the transfer solely because the gateway timed out.</w:t>
      </w:r>
    </w:p>
    <w:bookmarkStart w:id="23" w:name="customer-interaction-states"/>
    <w:p>
      <w:pPr>
        <w:pStyle w:val="Heading3"/>
      </w:pPr>
      <w:r>
        <w:t xml:space="preserve">Customer interaction states</w:t>
      </w:r>
    </w:p>
    <w:p>
      <w:pPr>
        <w:pStyle w:val="Compact"/>
        <w:numPr>
          <w:ilvl w:val="0"/>
          <w:numId w:val="1002"/>
        </w:numPr>
      </w:pPr>
      <w:r>
        <w:t xml:space="preserve">Show loading, success, validation error, network error, duplicate-submission retry, and session-expired states.</w:t>
      </w:r>
    </w:p>
    <w:p>
      <w:pPr>
        <w:pStyle w:val="Compact"/>
        <w:numPr>
          <w:ilvl w:val="0"/>
          <w:numId w:val="1002"/>
        </w:numPr>
      </w:pPr>
      <w:r>
        <w:t xml:space="preserve">For name enquiry failures, do not let the user confirm a beneficiary whose identity was not resolved.</w:t>
      </w:r>
    </w:p>
    <w:p>
      <w:pPr>
        <w:pStyle w:val="Compact"/>
        <w:numPr>
          <w:ilvl w:val="0"/>
          <w:numId w:val="1002"/>
        </w:numPr>
      </w:pPr>
      <w:r>
        <w:t xml:space="preserve">For transfer creation timeouts between the browser and Cedar API, retry using the</w:t>
      </w:r>
      <w:r>
        <w:t xml:space="preserve"> </w:t>
      </w:r>
      <w:r>
        <w:rPr>
          <w:b/>
          <w:bCs/>
        </w:rPr>
        <w:t xml:space="preserve">same idempotency key</w:t>
      </w:r>
      <w:r>
        <w:t xml:space="preserve"> </w:t>
      </w:r>
      <w:r>
        <w:t xml:space="preserve">after retrieving/checking status. Do not create a new transfer on an ambiguous client timeout.</w:t>
      </w:r>
    </w:p>
    <w:p>
      <w:pPr>
        <w:pStyle w:val="Compact"/>
        <w:numPr>
          <w:ilvl w:val="0"/>
          <w:numId w:val="1002"/>
        </w:numPr>
      </w:pPr>
      <w:r>
        <w:t xml:space="preserve">For complaint creation, show the real case reference returned by the backend and provide a route back to its status page.</w:t>
      </w:r>
    </w:p>
    <w:p>
      <w:pPr>
        <w:pStyle w:val="Compact"/>
        <w:numPr>
          <w:ilvl w:val="0"/>
          <w:numId w:val="1002"/>
        </w:numPr>
      </w:pPr>
      <w:r>
        <w:t xml:space="preserve">Label all Cedar identities, balances and transactions</w:t>
      </w:r>
      <w:r>
        <w:t xml:space="preserve"> </w:t>
      </w:r>
      <w:r>
        <w:rPr>
          <w:b/>
          <w:bCs/>
        </w:rPr>
        <w:t xml:space="preserve">SIMULATED</w:t>
      </w:r>
      <w:r>
        <w:t xml:space="preserve"> </w:t>
      </w:r>
      <w:r>
        <w:t xml:space="preserve">where appropriate.</w:t>
      </w:r>
    </w:p>
    <w:bookmarkEnd w:id="23"/>
    <w:bookmarkEnd w:id="24"/>
    <w:bookmarkStart w:id="25" w:name="X14496f7fd7a49248c2609b34aeb2135a8de32a9"/>
    <w:p>
      <w:pPr>
        <w:pStyle w:val="Heading2"/>
      </w:pPr>
      <w:r>
        <w:t xml:space="preserve">4. Required Veriq bank intelligence experience (P0)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3" w:color="DCE5E1"/>
          <w:left w:val="nil" w:sz="3" w:color="DCE5E1"/>
          <w:bottom w:val="single" w:sz="3" w:color="DCE5E1"/>
          <w:right w:val="nil" w:sz="3" w:color="DCE5E1"/>
          <w:insideH w:val="single" w:sz="3" w:color="DCE5E1"/>
          <w:insideV w:val="nil" w:sz="3" w:color="DCE5E1"/>
        </w:tblBorders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vAlign w:val="center"/>
            <w:shd w:fill="DCEAE5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b/>
                <w:sz w:val="14"/>
              </w:rPr>
              <w:t xml:space="preserve">Screen / component</w:t>
            </w:r>
          </w:p>
        </w:tc>
        <w:tc>
          <w:tcPr>
            <w:vAlign w:val="center"/>
            <w:shd w:fill="DCEAE5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b/>
                <w:sz w:val="14"/>
              </w:rPr>
              <w:t xml:space="preserve">Visible content and interactions</w:t>
            </w:r>
          </w:p>
        </w:tc>
        <w:tc>
          <w:tcPr>
            <w:vAlign w:val="center"/>
            <w:shd w:fill="DCEAE5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b/>
                <w:sz w:val="14"/>
              </w:rPr>
              <w:t xml:space="preserve">Contract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Veriq onboarding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Choose Cedar, upload available source files, see source processing states, parse/extraction outcome and citations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Aptos" w:hAnsi="Aptos"/>
                <w:sz w:val="14"/>
              </w:rPr>
              <w:t xml:space="preserve">POST/GET /v1/veriq/banks/{bankId}/sources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Source claims/review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Source text/locator, extracted subject–predicate–object, proposed status, ambiguity, accept/reject/request more evidence with reason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Aptos" w:hAnsi="Aptos"/>
                <w:sz w:val="14"/>
              </w:rPr>
              <w:t xml:space="preserve">GET /sources/{sourceId}/claims</w:t>
            </w:r>
            <w:r>
              <w:rPr>
                <w:rFonts w:ascii="Aptos" w:hAnsi="Aptos"/>
                <w:sz w:val="14"/>
              </w:rPr>
              <w:t xml:space="preserve">,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Style w:val="VerbatimChar"/>
                <w:rFonts w:ascii="Aptos" w:hAnsi="Aptos"/>
                <w:sz w:val="14"/>
              </w:rPr>
              <w:t xml:space="preserve">POST /assertions/{assertionId}/review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Living context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Entity types, documented/observed/candidate/verified relationships, current states, historical incidents, sources and uncertainty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Aptos" w:hAnsi="Aptos"/>
                <w:sz w:val="14"/>
              </w:rPr>
              <w:t xml:space="preserve">GET /context</w:t>
            </w:r>
            <w:r>
              <w:rPr>
                <w:rFonts w:ascii="Aptos" w:hAnsi="Aptos"/>
                <w:sz w:val="14"/>
              </w:rPr>
              <w:t xml:space="preserve">,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Style w:val="VerbatimChar"/>
                <w:rFonts w:ascii="Aptos" w:hAnsi="Aptos"/>
                <w:sz w:val="14"/>
              </w:rPr>
              <w:t xml:space="preserve">GET /relationships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Fonts w:ascii="Aptos" w:hAnsi="Aptos"/>
                <w:sz w:val="14"/>
              </w:rPr>
              <w:t xml:space="preserve">and approved entity-label contract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Operational overview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Elm/G2 and Birch/G3 routes, baseline vs recent attempts and timeouts, route status, suspected incidents and timestamps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Aptos" w:hAnsi="Aptos"/>
                <w:sz w:val="14"/>
              </w:rPr>
              <w:t xml:space="preserve">GET /operations</w:t>
            </w:r>
            <w:r>
              <w:rPr>
                <w:rFonts w:ascii="Aptos" w:hAnsi="Aptos"/>
                <w:sz w:val="14"/>
              </w:rPr>
              <w:t xml:space="preserve">,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Style w:val="VerbatimChar"/>
                <w:rFonts w:ascii="Aptos" w:hAnsi="Aptos"/>
                <w:sz w:val="14"/>
              </w:rPr>
              <w:t xml:space="preserve">GET /incidents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Incident details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Route signature, suspected state, linked cases and cited evidence; approve/reject with justification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Aptos" w:hAnsi="Aptos"/>
                <w:sz w:val="14"/>
              </w:rPr>
              <w:t xml:space="preserve">GET /incidents/{incidentId}</w:t>
            </w:r>
            <w:r>
              <w:rPr>
                <w:rFonts w:ascii="Aptos" w:hAnsi="Aptos"/>
                <w:sz w:val="14"/>
              </w:rPr>
              <w:t xml:space="preserve">,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Style w:val="VerbatimChar"/>
                <w:rFonts w:ascii="Aptos" w:hAnsi="Aptos"/>
                <w:sz w:val="14"/>
              </w:rPr>
              <w:t xml:space="preserve">POST /incidents/{incidentId}/review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Investigator case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Complaint summary, linked transfer, evidence timeline, known facts, unknowns, AI hypotheses, alternative explanations, next checks, reviewer decision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Aptos" w:hAnsi="Aptos"/>
                <w:sz w:val="14"/>
              </w:rPr>
              <w:t xml:space="preserve">GET /cases/{caseId}</w:t>
            </w:r>
            <w:r>
              <w:rPr>
                <w:rFonts w:ascii="Aptos" w:hAnsi="Aptos"/>
                <w:sz w:val="14"/>
              </w:rPr>
              <w:t xml:space="preserve">,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Style w:val="VerbatimChar"/>
                <w:rFonts w:ascii="Aptos" w:hAnsi="Aptos"/>
                <w:sz w:val="14"/>
              </w:rPr>
              <w:t xml:space="preserve">POST /cases/{caseId}/investigate</w:t>
            </w:r>
            <w:r>
              <w:rPr>
                <w:rFonts w:ascii="Aptos" w:hAnsi="Aptos"/>
                <w:sz w:val="14"/>
              </w:rPr>
              <w:t xml:space="preserve">,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Style w:val="VerbatimChar"/>
                <w:rFonts w:ascii="Aptos" w:hAnsi="Aptos"/>
                <w:sz w:val="14"/>
              </w:rPr>
              <w:t xml:space="preserve">POST /cases/{caseId}/review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Demo controls (operator only)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Reset, seed, start the stream, arm/run hero scenario, reveal later authorized status query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Aptos" w:hAnsi="Aptos"/>
                <w:sz w:val="14"/>
              </w:rPr>
              <w:t xml:space="preserve">/v1/demo/*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Fonts w:ascii="Aptos" w:hAnsi="Aptos"/>
                <w:sz w:val="14"/>
              </w:rPr>
              <w:t xml:space="preserve">endpoints; NEVER in customer role</w:t>
            </w:r>
          </w:p>
        </w:tc>
      </w:tr>
    </w:tbl>
    <w:p>
      <w:pPr>
        <w:pStyle w:val="BodyText"/>
      </w:pPr>
      <w:r>
        <w:rPr>
          <w:b/>
          <w:bCs/>
        </w:rPr>
        <w:t xml:space="preserve">Living context UI design:</w:t>
      </w:r>
      <w:r>
        <w:t xml:space="preserve"> </w:t>
      </w:r>
      <w:r>
        <w:t xml:space="preserve">Start with clear</w:t>
      </w:r>
      <w:r>
        <w:t xml:space="preserve"> </w:t>
      </w:r>
      <w:r>
        <w:rPr>
          <w:i/>
          <w:iCs/>
        </w:rPr>
        <w:t xml:space="preserve">tables + provenance side panel</w:t>
      </w:r>
      <w:r>
        <w:t xml:space="preserve">; add an interactive relationship graph if it improves comprehension. A decorative static graph is unacceptable. Graph nodes/edges must come from Veriq API records; selecting an edge must show its source ID, evidence IDs, timestamps and verification status. Context summary</w:t>
      </w:r>
      <w:r>
        <w:t xml:space="preserve"> </w:t>
      </w:r>
      <w:r>
        <w:rPr>
          <w:rStyle w:val="VerbatimChar"/>
        </w:rPr>
        <w:t xml:space="preserve">entity_counts</w:t>
      </w:r>
      <w:r>
        <w:t xml:space="preserve"> </w:t>
      </w:r>
      <w:r>
        <w:t xml:space="preserve">is not a full entity list; do not fabricate entity names from it.</w:t>
      </w:r>
    </w:p>
    <w:p>
      <w:pPr>
        <w:pStyle w:val="BodyText"/>
      </w:pPr>
      <w:r>
        <w:rPr>
          <w:b/>
          <w:bCs/>
        </w:rPr>
        <w:t xml:space="preserve">Uncertainty UI:</w:t>
      </w:r>
      <w:r>
        <w:t xml:space="preserve"> </w:t>
      </w:r>
      <w:r>
        <w:t xml:space="preserve">Use clearly different language for</w:t>
      </w:r>
      <w:r>
        <w:t xml:space="preserve"> </w:t>
      </w:r>
      <w:r>
        <w:rPr>
          <w:i/>
          <w:iCs/>
        </w:rPr>
        <w:t xml:space="preserve">documented</w:t>
      </w:r>
      <w:r>
        <w:t xml:space="preserve">,</w:t>
      </w:r>
      <w:r>
        <w:t xml:space="preserve"> </w:t>
      </w:r>
      <w:r>
        <w:rPr>
          <w:i/>
          <w:iCs/>
        </w:rPr>
        <w:t xml:space="preserve">observed</w:t>
      </w:r>
      <w:r>
        <w:t xml:space="preserve">,</w:t>
      </w:r>
      <w:r>
        <w:t xml:space="preserve"> </w:t>
      </w:r>
      <w:r>
        <w:rPr>
          <w:i/>
          <w:iCs/>
        </w:rPr>
        <w:t xml:space="preserve">candidate</w:t>
      </w:r>
      <w:r>
        <w:t xml:space="preserve">,</w:t>
      </w:r>
      <w:r>
        <w:t xml:space="preserve"> </w:t>
      </w:r>
      <w:r>
        <w:rPr>
          <w:i/>
          <w:iCs/>
        </w:rPr>
        <w:t xml:space="preserve">verified</w:t>
      </w:r>
      <w:r>
        <w:t xml:space="preserve">,</w:t>
      </w:r>
      <w:r>
        <w:t xml:space="preserve"> </w:t>
      </w:r>
      <w:r>
        <w:rPr>
          <w:i/>
          <w:iCs/>
        </w:rPr>
        <w:t xml:space="preserve">rejected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unknown</w:t>
      </w:r>
      <w:r>
        <w:t xml:space="preserve">. Do not style the AI hypothesis as a confirmed root cause. On a case,</w:t>
      </w:r>
      <w:r>
        <w:t xml:space="preserve"> </w:t>
      </w:r>
      <w:r>
        <w:rPr>
          <w:rStyle w:val="VerbatimChar"/>
        </w:rPr>
        <w:t xml:space="preserve">financial_outcome</w:t>
      </w:r>
      <w:r>
        <w:t xml:space="preserve"> </w:t>
      </w:r>
      <w:r>
        <w:t xml:space="preserve">is separate from incident status. An incident can be suspected while the beneficiary is eventually confirmed credited.</w:t>
      </w:r>
    </w:p>
    <w:bookmarkEnd w:id="25"/>
    <w:bookmarkStart w:id="26" w:name="X050a64d0b5243ffe0309f1f3a07bf52d8c9ace7"/>
    <w:p>
      <w:pPr>
        <w:pStyle w:val="Heading2"/>
      </w:pPr>
      <w:r>
        <w:t xml:space="preserve">5. Single demo, precise visible sequence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3" w:color="DCE5E1"/>
          <w:left w:val="nil" w:sz="3" w:color="DCE5E1"/>
          <w:bottom w:val="single" w:sz="3" w:color="DCE5E1"/>
          <w:right w:val="nil" w:sz="3" w:color="DCE5E1"/>
          <w:insideH w:val="single" w:sz="3" w:color="DCE5E1"/>
          <w:insideV w:val="nil" w:sz="3" w:color="DCE5E1"/>
        </w:tblBorders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vAlign w:val="center"/>
            <w:shd w:fill="DCEAE5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b/>
                <w:sz w:val="14"/>
              </w:rPr>
              <w:t xml:space="preserve">Beat</w:t>
            </w:r>
          </w:p>
        </w:tc>
        <w:tc>
          <w:tcPr>
            <w:vAlign w:val="center"/>
            <w:shd w:fill="DCEAE5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b/>
                <w:sz w:val="14"/>
              </w:rPr>
              <w:t xml:space="preserve">Usaamah's UI action</w:t>
            </w:r>
          </w:p>
        </w:tc>
        <w:tc>
          <w:tcPr>
            <w:vAlign w:val="center"/>
            <w:shd w:fill="DCEAE5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b/>
                <w:sz w:val="14"/>
              </w:rPr>
              <w:t xml:space="preserve">Must actually happen in the backend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Enter Veriq/Cedar onboarding and upload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Style w:val="VerbatimChar"/>
                <w:rFonts w:ascii="Aptos" w:hAnsi="Aptos"/>
                <w:sz w:val="14"/>
              </w:rPr>
              <w:t xml:space="preserve">services.json</w:t>
            </w:r>
            <w:r>
              <w:rPr>
                <w:rFonts w:ascii="Aptos" w:hAnsi="Aptos"/>
                <w:sz w:val="14"/>
              </w:rPr>
              <w:t xml:space="preserve">,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Style w:val="VerbatimChar"/>
                <w:rFonts w:ascii="Aptos" w:hAnsi="Aptos"/>
                <w:sz w:val="14"/>
              </w:rPr>
              <w:t xml:space="preserve">dependencies.csv</w:t>
            </w:r>
            <w:r>
              <w:rPr>
                <w:rFonts w:ascii="Aptos" w:hAnsi="Aptos"/>
                <w:sz w:val="14"/>
              </w:rPr>
              <w:t xml:space="preserve">,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Style w:val="VerbatimChar"/>
                <w:rFonts w:ascii="Aptos" w:hAnsi="Aptos"/>
                <w:sz w:val="14"/>
              </w:rPr>
              <w:t xml:space="preserve">routes.json</w:t>
            </w:r>
            <w:r>
              <w:rPr>
                <w:rFonts w:ascii="Aptos" w:hAnsi="Aptos"/>
                <w:sz w:val="14"/>
              </w:rPr>
              <w:t xml:space="preserve">,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Style w:val="VerbatimChar"/>
                <w:rFonts w:ascii="Aptos" w:hAnsi="Aptos"/>
                <w:sz w:val="14"/>
              </w:rPr>
              <w:t xml:space="preserve">historical_incidents.md</w:t>
            </w:r>
            <w:r>
              <w:rPr>
                <w:rFonts w:ascii="Aptos" w:hAnsi="Aptos"/>
                <w:sz w:val="14"/>
              </w:rPr>
              <w:t xml:space="preserve">,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Style w:val="VerbatimChar"/>
                <w:rFonts w:ascii="Aptos" w:hAnsi="Aptos"/>
                <w:sz w:val="14"/>
              </w:rPr>
              <w:t xml:space="preserve">operations_sop.txt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Uploads and source registration run; extracted claims stored with locators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Inspect extracted candidates, review a source-backed edge and show Veriq context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Backend validates claim/relationship; provenance survives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Start operational stream; show Elm/G2 degradation and Birch/G3 normal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Detector receives 7 timeouts / 25 Elm attempts versus 2 / 100 historical, creates one SUSPECTED incident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Fonts w:ascii="Aptos" w:hAnsi="Aptos"/>
                <w:b/>
                <w:bCs/>
                <w:sz w:val="14"/>
              </w:rPr>
              <w:t xml:space="preserve">before complaint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Switch to Cedar customer, sign in, name-enquire Elm beneficiary, submit ₦50,000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Cedar ledger posts one debit, simulated Elm privately credits, gateway response is dropped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Show transfer marked UNKNOWN; file complaint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Cedar persists case; no AI-based failure conclusion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Switch to Veriq investigator case; inspect evidence and AI findings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Investigator API returns eligible evidence IDs, related route context, uncertainty and recommended checks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Operator triggers later authorized status evidence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Aptos" w:hAnsi="Aptos"/>
                <w:sz w:val="14"/>
              </w:rPr>
              <w:t xml:space="preserve">/v1/demo/transfers/{transferId}/reveal-status</w:t>
            </w:r>
            <w:r>
              <w:rPr>
                <w:rFonts w:ascii="Aptos" w:hAnsi="Aptos"/>
                <w:sz w:val="14"/>
              </w:rPr>
              <w:t xml:space="preserve"> </w:t>
            </w:r>
            <w:r>
              <w:rPr>
                <w:rFonts w:ascii="Aptos" w:hAnsi="Aptos"/>
                <w:sz w:val="14"/>
              </w:rPr>
              <w:t xml:space="preserve">causes Cedar status pathway to emit eligible evidence, NOT direct UI mutation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Return to Cedar customer case and transfer view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Aptos" w:hAnsi="Aptos"/>
                <w:sz w:val="14"/>
              </w:rPr>
              <w:t xml:space="preserve">Final outcome is now CREDIT_CONFIRMED from backend, not React state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One recorded demo</w:t>
      </w:r>
      <w:r>
        <w:t xml:space="preserve"> </w:t>
      </w:r>
      <w:r>
        <w:t xml:space="preserve">with these two connected acts in the same Cedar state; don't create two disconnected demos, re-seed between acts or promise multiple submission videos.</w:t>
      </w:r>
    </w:p>
    <w:bookmarkEnd w:id="26"/>
    <w:bookmarkStart w:id="27" w:name="X2a3a7c4d8feccd7e543380f48366592f3b6c74d"/>
    <w:p>
      <w:pPr>
        <w:pStyle w:val="Heading2"/>
      </w:pPr>
      <w:r>
        <w:t xml:space="preserve">6. Non-negotiable API conventions</w:t>
      </w:r>
    </w:p>
    <w:p>
      <w:pPr>
        <w:pStyle w:val="Compact"/>
        <w:numPr>
          <w:ilvl w:val="0"/>
          <w:numId w:val="1003"/>
        </w:numPr>
      </w:pPr>
      <w:r>
        <w:t xml:space="preserve">Existing canonical prefixes:</w:t>
      </w:r>
      <w:r>
        <w:t xml:space="preserve"> </w:t>
      </w:r>
      <w:r>
        <w:rPr>
          <w:rStyle w:val="VerbatimChar"/>
        </w:rPr>
        <w:t xml:space="preserve">/v1/cedar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/v1/veriq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/v1/demo</w:t>
      </w:r>
      <w:r>
        <w:t xml:space="preserve">; AI private endpoints are</w:t>
      </w:r>
      <w:r>
        <w:t xml:space="preserve"> </w:t>
      </w:r>
      <w:r>
        <w:rPr>
          <w:b/>
          <w:bCs/>
        </w:rPr>
        <w:t xml:space="preserve">never called from the browser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amount_kobo</w:t>
      </w:r>
      <w:r>
        <w:t xml:space="preserve"> </w:t>
      </w:r>
      <w:r>
        <w:t xml:space="preserve">is an integer. Render ₦50,000 for value</w:t>
      </w:r>
      <w:r>
        <w:t xml:space="preserve"> </w:t>
      </w:r>
      <w:r>
        <w:rPr>
          <w:rStyle w:val="VerbatimChar"/>
        </w:rPr>
        <w:t xml:space="preserve">5000000</w:t>
      </w:r>
      <w:r>
        <w:t xml:space="preserve"> </w:t>
      </w:r>
      <w:r>
        <w:t xml:space="preserve">using a display formatter. No floating-point money arithmetic.</w:t>
      </w:r>
    </w:p>
    <w:p>
      <w:pPr>
        <w:pStyle w:val="Compact"/>
        <w:numPr>
          <w:ilvl w:val="0"/>
          <w:numId w:val="1003"/>
        </w:numPr>
      </w:pPr>
      <w:r>
        <w:t xml:space="preserve">Honor exact enums from the OpenAPI document. In particular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CREDIT_CONFIRMED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FAILURE_CONFIRMED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REVERSAL_POSTED</w:t>
      </w:r>
      <w:r>
        <w:t xml:space="preserve"> </w:t>
      </w:r>
      <w:r>
        <w:t xml:space="preserve">are financial-outcome values;</w:t>
      </w:r>
      <w:r>
        <w:t xml:space="preserve"> </w:t>
      </w:r>
      <w:r>
        <w:rPr>
          <w:rStyle w:val="VerbatimChar"/>
        </w:rPr>
        <w:t xml:space="preserve">SUSPECTED</w:t>
      </w:r>
      <w:r>
        <w:t xml:space="preserve"> </w:t>
      </w:r>
      <w:r>
        <w:t xml:space="preserve">is an incident status.</w:t>
      </w:r>
    </w:p>
    <w:p>
      <w:pPr>
        <w:pStyle w:val="Compact"/>
        <w:numPr>
          <w:ilvl w:val="0"/>
          <w:numId w:val="1003"/>
        </w:numPr>
      </w:pPr>
      <w:r>
        <w:t xml:space="preserve">Authentication is server-enforced. Customer can see only owned account, transfer and complaint; investigators see bank-authorized cases; operator controls must not leak to customers.</w:t>
      </w:r>
    </w:p>
    <w:p>
      <w:pPr>
        <w:pStyle w:val="Compact"/>
        <w:numPr>
          <w:ilvl w:val="0"/>
          <w:numId w:val="1003"/>
        </w:numPr>
      </w:pPr>
      <w:r>
        <w:t xml:space="preserve">Use normalized error feedback based on</w:t>
      </w:r>
      <w:r>
        <w:t xml:space="preserve"> </w:t>
      </w:r>
      <w:r>
        <w:rPr>
          <w:rStyle w:val="VerbatimChar"/>
        </w:rPr>
        <w:t xml:space="preserve">{ error: { code, message } }</w:t>
      </w:r>
      <w:r>
        <w:t xml:space="preserve"> </w:t>
      </w:r>
      <w:r>
        <w:t xml:space="preserve">where supplied. Handle 401/403/404/409/422 appropriately.</w:t>
      </w:r>
    </w:p>
    <w:p>
      <w:pPr>
        <w:pStyle w:val="Compact"/>
        <w:numPr>
          <w:ilvl w:val="0"/>
          <w:numId w:val="1003"/>
        </w:numPr>
      </w:pPr>
      <w:r>
        <w:t xml:space="preserve">Read backend host/port from configuration. The old OpenAPI document's NestJS localhost port is a technology assumption, not an immutable externally published interface. Daniel will confirm the FastAPI base URL.</w:t>
      </w:r>
    </w:p>
    <w:p>
      <w:pPr>
        <w:pStyle w:val="Compact"/>
        <w:numPr>
          <w:ilvl w:val="0"/>
          <w:numId w:val="1003"/>
        </w:numPr>
      </w:pPr>
      <w:r>
        <w:t xml:space="preserve">Do not add new browser-facing routes to the shared OpenAPI without an agreed ADR/contract update.</w:t>
      </w:r>
    </w:p>
    <w:bookmarkEnd w:id="27"/>
    <w:bookmarkStart w:id="28" w:name="Xce03734ec94429a4286e8e4eacb2dba4a1acccc"/>
    <w:p>
      <w:pPr>
        <w:pStyle w:val="Heading2"/>
      </w:pPr>
      <w:r>
        <w:t xml:space="preserve">7. Contract gaps that Daniel must resolve early (not permission to invent routes)</w:t>
      </w:r>
    </w:p>
    <w:p>
      <w:pPr>
        <w:pStyle w:val="Compact"/>
        <w:numPr>
          <w:ilvl w:val="0"/>
          <w:numId w:val="1004"/>
        </w:numPr>
      </w:pPr>
      <w:r>
        <w:t xml:space="preserve">The API contract defines a session cookie but</w:t>
      </w:r>
      <w:r>
        <w:t xml:space="preserve"> </w:t>
      </w:r>
      <w:r>
        <w:rPr>
          <w:b/>
          <w:bCs/>
        </w:rPr>
        <w:t xml:space="preserve">does not define a login/session issuance route</w:t>
      </w:r>
      <w:r>
        <w:t xml:space="preserve">. Decide demo session/role flow with Daniel before wiring sign-in.</w:t>
      </w:r>
    </w:p>
    <w:p>
      <w:pPr>
        <w:pStyle w:val="Compact"/>
        <w:numPr>
          <w:ilvl w:val="0"/>
          <w:numId w:val="1004"/>
        </w:numPr>
      </w:pPr>
      <w:r>
        <w:t xml:space="preserve">It defines</w:t>
      </w:r>
      <w:r>
        <w:t xml:space="preserve"> </w:t>
      </w:r>
      <w:r>
        <w:rPr>
          <w:rStyle w:val="VerbatimChar"/>
        </w:rPr>
        <w:t xml:space="preserve">GET /transfers/{transferId}</w:t>
      </w:r>
      <w:r>
        <w:t xml:space="preserve"> </w:t>
      </w:r>
      <w:r>
        <w:t xml:space="preserve">but not a</w:t>
      </w:r>
      <w:r>
        <w:t xml:space="preserve"> </w:t>
      </w:r>
      <w:r>
        <w:rPr>
          <w:b/>
          <w:bCs/>
        </w:rPr>
        <w:t xml:space="preserve">transaction history list endpoint</w:t>
      </w:r>
      <w:r>
        <w:t xml:space="preserve">. Home's “recent activity” must be deferred, seeded from approved read data, or added through contract amendment.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/context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summary counts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/relationships</w:t>
      </w:r>
      <w:r>
        <w:t xml:space="preserve"> </w:t>
      </w:r>
      <w:r>
        <w:t xml:space="preserve">contains IDs but not human-readable entity labels. Agree an entity-detail/list API or approved response extension if a full exploratory graph is required.</w:t>
      </w:r>
    </w:p>
    <w:p>
      <w:pPr>
        <w:pStyle w:val="Compact"/>
        <w:numPr>
          <w:ilvl w:val="0"/>
          <w:numId w:val="1004"/>
        </w:numPr>
      </w:pPr>
      <w:r>
        <w:t xml:space="preserve">Source upload returns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, but there is no separate job-status route in v1.0. Use approved source listing polling for P0 or request a job-status contract amendment.</w:t>
      </w:r>
    </w:p>
    <w:p>
      <w:pPr>
        <w:pStyle w:val="Compact"/>
        <w:numPr>
          <w:ilvl w:val="0"/>
          <w:numId w:val="1004"/>
        </w:numPr>
      </w:pPr>
      <w:r>
        <w:t xml:space="preserve">The API's</w:t>
      </w:r>
      <w:r>
        <w:t xml:space="preserve"> </w:t>
      </w:r>
      <w:r>
        <w:rPr>
          <w:rStyle w:val="VerbatimChar"/>
        </w:rPr>
        <w:t xml:space="preserve">AIClaim</w:t>
      </w:r>
      <w:r>
        <w:t xml:space="preserve"> </w:t>
      </w:r>
      <w:r>
        <w:t xml:space="preserve">return type does not include the persisted assertion identifier/status needed by review UI; Daniel must confirm the mapping or amend it before implementing clickable review.</w:t>
      </w:r>
    </w:p>
    <w:p>
      <w:pPr>
        <w:pStyle w:val="FirstParagraph"/>
      </w:pPr>
      <w:r>
        <w:t xml:space="preserve">Log these as cross-team integration decisions. Until resolved, build stable mock screens but do not pretend the missing API already exists.</w:t>
      </w:r>
    </w:p>
    <w:bookmarkEnd w:id="28"/>
    <w:bookmarkStart w:id="29" w:name="X62430df585d518bc16491e9e1f4a746d1ec0530"/>
    <w:p>
      <w:pPr>
        <w:pStyle w:val="Heading2"/>
      </w:pPr>
      <w:r>
        <w:t xml:space="preserve">8. Deliverables and acceptance criteria</w:t>
      </w:r>
    </w:p>
    <w:p>
      <w:pPr>
        <w:pStyle w:val="FirstParagraph"/>
      </w:pPr>
      <w:r>
        <w:rPr>
          <w:b/>
          <w:bCs/>
        </w:rPr>
        <w:t xml:space="preserve">P0 deliverables</w:t>
      </w:r>
    </w:p>
    <w:p>
      <w:pPr>
        <w:pStyle w:val="Compact"/>
        <w:numPr>
          <w:ilvl w:val="0"/>
          <w:numId w:val="1005"/>
        </w:numPr>
      </w:pPr>
      <w:r>
        <w:t xml:space="preserve">Next.js app with Cedar customer and Veriq investigator/demo route groups, reusable components and readable responsive UI.</w:t>
      </w:r>
    </w:p>
    <w:p>
      <w:pPr>
        <w:pStyle w:val="Compact"/>
        <w:numPr>
          <w:ilvl w:val="0"/>
          <w:numId w:val="1005"/>
        </w:numPr>
      </w:pPr>
      <w:r>
        <w:t xml:space="preserve">Typed API client and contract-valid mocks; no direct browser→AI or browser→database access.</w:t>
      </w:r>
    </w:p>
    <w:p>
      <w:pPr>
        <w:pStyle w:val="Compact"/>
        <w:numPr>
          <w:ilvl w:val="0"/>
          <w:numId w:val="1005"/>
        </w:numPr>
      </w:pPr>
      <w:r>
        <w:t xml:space="preserve">Customer transfer, UNKNOWN-state display, complaint submission/tracking, and later CREDIT_CONFIRMED view backed by actual API.</w:t>
      </w:r>
    </w:p>
    <w:p>
      <w:pPr>
        <w:pStyle w:val="Compact"/>
        <w:numPr>
          <w:ilvl w:val="0"/>
          <w:numId w:val="1005"/>
        </w:numPr>
      </w:pPr>
      <w:r>
        <w:t xml:space="preserve">Veriq source upload, candidate claims/review, context view with source provenance, route overview, suspected incident and investigator case.</w:t>
      </w:r>
    </w:p>
    <w:p>
      <w:pPr>
        <w:pStyle w:val="Compact"/>
        <w:numPr>
          <w:ilvl w:val="0"/>
          <w:numId w:val="1005"/>
        </w:numPr>
      </w:pPr>
      <w:r>
        <w:t xml:space="preserve">Clear synthetic-environment labels, role-aware navigation, loading/error/empty states.</w:t>
      </w:r>
    </w:p>
    <w:p>
      <w:pPr>
        <w:pStyle w:val="FirstParagraph"/>
      </w:pPr>
      <w:r>
        <w:rPr>
          <w:b/>
          <w:bCs/>
        </w:rPr>
        <w:t xml:space="preserve">Must-pass UI tests / demonstrations</w:t>
      </w:r>
    </w:p>
    <w:p>
      <w:pPr>
        <w:pStyle w:val="Compact"/>
        <w:numPr>
          <w:ilvl w:val="0"/>
          <w:numId w:val="1006"/>
        </w:numPr>
      </w:pPr>
      <w:r>
        <w:t xml:space="preserve">A Cedar customer cannot navigate to a different customer's transfer/case even by modifying route IDs.</w:t>
      </w:r>
    </w:p>
    <w:p>
      <w:pPr>
        <w:pStyle w:val="Compact"/>
        <w:numPr>
          <w:ilvl w:val="0"/>
          <w:numId w:val="1006"/>
        </w:numPr>
      </w:pPr>
      <w:r>
        <w:t xml:space="preserve">A timeout is never displayed as confirmed failure; never imply another transfer should be sent.</w:t>
      </w:r>
    </w:p>
    <w:p>
      <w:pPr>
        <w:pStyle w:val="Compact"/>
        <w:numPr>
          <w:ilvl w:val="0"/>
          <w:numId w:val="1006"/>
        </w:numPr>
      </w:pPr>
      <w:r>
        <w:t xml:space="preserve">No hardcoded state transition on demo click: refresh after a new event returns persisted state.</w:t>
      </w:r>
    </w:p>
    <w:p>
      <w:pPr>
        <w:pStyle w:val="Compact"/>
        <w:numPr>
          <w:ilvl w:val="0"/>
          <w:numId w:val="1006"/>
        </w:numPr>
      </w:pPr>
      <w:r>
        <w:t xml:space="preserve">AI unavailable: customer complaint still saves and investigator evidence remains visible.</w:t>
      </w:r>
    </w:p>
    <w:p>
      <w:pPr>
        <w:pStyle w:val="Compact"/>
        <w:numPr>
          <w:ilvl w:val="0"/>
          <w:numId w:val="1006"/>
        </w:numPr>
      </w:pPr>
      <w:r>
        <w:t xml:space="preserve">Birch's unrelated complaint is not shown under the G2 incident.</w:t>
      </w:r>
    </w:p>
    <w:p>
      <w:pPr>
        <w:pStyle w:val="Compact"/>
        <w:numPr>
          <w:ilvl w:val="0"/>
          <w:numId w:val="1006"/>
        </w:numPr>
      </w:pPr>
      <w:r>
        <w:t xml:space="preserve">Known source attribution/relationship verification state is visible and readable.</w:t>
      </w:r>
    </w:p>
    <w:p>
      <w:pPr>
        <w:pStyle w:val="Compact"/>
        <w:numPr>
          <w:ilvl w:val="0"/>
          <w:numId w:val="1006"/>
        </w:numPr>
      </w:pPr>
      <w:r>
        <w:t xml:space="preserve">Basic accessibility: labels, keyboard operation, meaningful status text and mobile layout.</w:t>
      </w:r>
    </w:p>
    <w:bookmarkEnd w:id="29"/>
    <w:bookmarkStart w:id="30" w:name="Xd558f1c856b504c259daa335170d137e6ea8617"/>
    <w:p>
      <w:pPr>
        <w:pStyle w:val="Heading2"/>
      </w:pPr>
      <w:r>
        <w:t xml:space="preserve">9. Implementation sequence for independent parallel work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F0:</w:t>
      </w:r>
      <w:r>
        <w:t xml:space="preserve"> </w:t>
      </w:r>
      <w:r>
        <w:t xml:space="preserve">Read three canonical contracts, align on Cedar/Veriq routes, create typed mocks and a frontend screen map.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F1:</w:t>
      </w:r>
      <w:r>
        <w:t xml:space="preserve"> </w:t>
      </w:r>
      <w:r>
        <w:t xml:space="preserve">Build both visual shells and role-separated navigation with fixture-driven components.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F2:</w:t>
      </w:r>
      <w:r>
        <w:t xml:space="preserve"> </w:t>
      </w:r>
      <w:r>
        <w:t xml:space="preserve">Implement Cedar accounts, name enquiry, transfer, unknown-outcome and complaint flow against mocks; add UI tests.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F3:</w:t>
      </w:r>
      <w:r>
        <w:t xml:space="preserve"> </w:t>
      </w:r>
      <w:r>
        <w:t xml:space="preserve">Implement Veriq onboarding, claims review, context table/graph, monitoring and case views against mocks.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F4:</w:t>
      </w:r>
      <w:r>
        <w:t xml:space="preserve"> </w:t>
      </w:r>
      <w:r>
        <w:t xml:space="preserve">Connect to Daniel's API module-by-module; run the full two-act demonstration with realistic timing and failure handling.</w:t>
      </w:r>
    </w:p>
    <w:p>
      <w:pPr>
        <w:pStyle w:val="FirstParagraph"/>
      </w:pPr>
      <w:r>
        <w:rPr>
          <w:b/>
          <w:bCs/>
        </w:rPr>
        <w:t xml:space="preserve">Out of scope for P0:</w:t>
      </w:r>
      <w:r>
        <w:t xml:space="preserve"> </w:t>
      </w:r>
      <w:r>
        <w:t xml:space="preserve">Real online banking, native mobile app, cards, billers, OTP delivery, push notifications, long-form chatbot, heavy graph-visualization performance tuning, and external bank branding.</w:t>
      </w:r>
    </w:p>
    <w:bookmarkEnd w:id="30"/>
    <w:bookmarkStart w:id="31" w:name="Xb77aed46c5320e6d1092fbf221ef0814a1fa395"/>
    <w:p>
      <w:pPr>
        <w:pStyle w:val="Heading2"/>
      </w:pPr>
      <w:r>
        <w:t xml:space="preserve">10. What to report to the team</w:t>
      </w:r>
    </w:p>
    <w:p>
      <w:pPr>
        <w:pStyle w:val="FirstParagraph"/>
      </w:pPr>
      <w:r>
        <w:t xml:space="preserve">At each milestone provide: branch/commit, screens and routes finished, API calls used, mock-data assumptions, screenshots/video (if convenient), tests run, blockers, and every desired contract change. Do not report a mock view as live-integrated.</w:t>
      </w:r>
    </w:p>
    <w:p>
      <w:pPr>
        <w:pStyle w:val="BodyText"/>
      </w:pPr>
      <w:r>
        <w:rPr>
          <w:b/>
          <w:bCs/>
        </w:rPr>
        <w:t xml:space="preserve">Definition of done:</w:t>
      </w:r>
      <w:r>
        <w:t xml:space="preserve"> </w:t>
      </w:r>
      <w:r>
        <w:t xml:space="preserve">Usaamah can demonstrate both Cedar and Veriq experiences in a single app, with truthful financial status, traceable institutional context, permitted user actions and an uninterrupted shared scenario—without frontend-invented banking facts.</w:t>
      </w:r>
    </w:p>
    <w:bookmarkEnd w:id="31"/>
    <w:bookmarkEnd w:id="32"/>
    <w:sectPr>
      <w:headerReference w:type="default" r:id="rId9"/>
      <w:footerReference w:type="default" r:id="rId10"/>
      <w:pgMar w:top="1037" w:bottom="1037" w:left="1123" w:right="1123" w:header="432" w:footer="5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A6B"/>
        <w:sz w:val="14"/>
      </w:rPr>
      <w:t xml:space="preserve">Veriq + Cedar  ·  15 Oct 2026     |     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06A62"/>
        <w:sz w:val="15"/>
      </w:rPr>
      <w:t>VERIQ  /  CEDAR     ·     ENGINEERING HANDOFF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64" w:lineRule="auto"/>
    </w:pPr>
    <w:rPr>
      <w:rFonts w:ascii="Aptos" w:hAnsi="Aptos"/>
      <w:color w:val="2C3337"/>
      <w:sz w:val="18"/>
    </w:rPr>
  </w:style>
  <w:style w:styleId="BodyText" w:type="paragraph">
    <w:name w:val="Body Text"/>
    <w:basedOn w:val="Normal"/>
    <w:link w:val="BodyTextChar"/>
    <w:qFormat/>
    <w:pPr>
      <w:spacing w:after="80" w:before="0" w:line="259" w:lineRule="auto"/>
    </w:pPr>
    <w:rPr>
      <w:rFonts w:ascii="Aptos" w:hAnsi="Aptos"/>
      <w:sz w:val="18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 w:line="259" w:lineRule="auto"/>
    </w:pPr>
    <w:rPr>
      <w:rFonts w:ascii="Aptos" w:hAnsi="Aptos"/>
      <w:sz w:val="18"/>
    </w:rPr>
  </w:style>
  <w:style w:customStyle="1" w:styleId="Compact" w:type="paragraph">
    <w:name w:val="Compact"/>
    <w:basedOn w:val="BodyText"/>
    <w:qFormat/>
    <w:pPr>
      <w:spacing w:after="80" w:before="0" w:line="259" w:lineRule="auto"/>
    </w:pPr>
    <w:rPr>
      <w:rFonts w:ascii="Aptos" w:hAnsi="Aptos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40"/>
      <w:jc w:val="center"/>
    </w:pPr>
    <w:rPr>
      <w:rFonts w:asciiTheme="majorHAnsi" w:cstheme="majorBidi" w:eastAsiaTheme="majorEastAsia" w:hAnsiTheme="majorHAnsi" w:ascii="Aptos Display" w:hAnsi="Aptos Display"/>
      <w:b/>
      <w:bCs/>
      <w:color w:val="123F3A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180"/>
      <w:outlineLvl w:val="0"/>
    </w:pPr>
    <w:rPr>
      <w:rFonts w:asciiTheme="majorHAnsi" w:cstheme="majorBidi" w:eastAsiaTheme="majorEastAsia" w:hAnsiTheme="majorHAnsi" w:ascii="Aptos Display" w:hAnsi="Aptos Display"/>
      <w:b/>
      <w:bCs/>
      <w:color w:val="16463F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120"/>
      <w:outlineLvl w:val="1"/>
    </w:pPr>
    <w:rPr>
      <w:rFonts w:asciiTheme="majorHAnsi" w:cstheme="majorBidi" w:eastAsiaTheme="majorEastAsia" w:hAnsiTheme="majorHAnsi" w:ascii="Aptos" w:hAnsi="Aptos"/>
      <w:b/>
      <w:bCs/>
      <w:color w:val="16463F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00"/>
      <w:outlineLvl w:val="2"/>
    </w:pPr>
    <w:rPr>
      <w:rFonts w:asciiTheme="majorHAnsi" w:cstheme="majorBidi" w:eastAsiaTheme="majorEastAsia" w:hAnsiTheme="majorHAnsi" w:ascii="Aptos" w:hAnsi="Aptos"/>
      <w:b/>
      <w:bCs/>
      <w:color w:val="16463F"/>
      <w:sz w:val="20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0" w:line="259" w:lineRule="auto"/>
      <w:ind w:firstLine="0" w:left="480" w:right="480"/>
    </w:pPr>
    <w:rPr>
      <w:rFonts w:ascii="Aptos" w:hAnsi="Aptos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after="80" w:before="0" w:line="259" w:lineRule="auto"/>
    </w:pPr>
    <w:rPr>
      <w:rFonts w:ascii="Aptos Mono" w:hAnsi="Aptos Mono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Veriq + Cedar Team</dc:creator>
  <cp:keywords/>
  <dcterms:created xsi:type="dcterms:W3CDTF">2026-10-15T11:17:37Z</dcterms:created>
  <dcterms:modified xsi:type="dcterms:W3CDTF">2026-10-15T11:17:37Z</dcterms:modified>
  <dc:subject>Team engineering handoff specification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