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S’organiser dans la salle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Réalisation d’une maquette obligatoire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Créez qu’une seule fonction pour chaque façon de trier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Commentaires obligatoires (français ou anglais)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Créez un repo Github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Personnes prédéfinies (la promo) pour les 4 premiers tris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Tri prédéfini n°1: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trier les personnes par groupe simple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permettre à un utilisateur de choisir le nombre de tables ou de personnes par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les personnes sont choisies aléatoirement dans chaque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Tri prédéfini n°2: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trier les personnes par ordre alphabétique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permettre à un utilisateur de choisir le nombre de table ou de personne par groupe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les personnes sont réparties par ordre alphabétique dans les différents groupes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Tri prédéfini n°3: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trier les personnes par âge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permettre à un utilisateur de choisir le nombre de table ou de personne par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les personnes sont répartis par âge dans les différents groupes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Tri prédéfini n°4: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trier les personnes par ordre alphabétique moins leur âge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permettre à un utilisateur de choisir le nombre de table ou de personne par groupe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les personnes sont réparties par ordre alphabétique moins leur âge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Tri Kata: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sélectionner aléatoirement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une personne pour caster le kata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une personne pour faire des recherches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Tri libre 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l’utilisateur doit pouvoir saisir ses paramètres de tri (exemple: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https://www.keamk.com/fr/random-team-generator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nombre de personnes et noms des personnes (obligatoire)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nombre de tables (obligatoire)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plusieurs checkbox pour choisir le tri:  table / alphabétique / genre / âge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Afficher les différents tri avec une jolie interface (bootstrap ou materialize)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eamk.com/fr/random-team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