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D229E" w14:textId="77777777" w:rsidR="0004072D" w:rsidRPr="009A423F" w:rsidRDefault="00CA56C7" w:rsidP="00BB6745">
      <w:pPr>
        <w:spacing w:after="0"/>
        <w:rPr>
          <w:rFonts w:asciiTheme="minorHAnsi" w:hAnsiTheme="minorHAnsi" w:cstheme="minorHAnsi"/>
        </w:rPr>
      </w:pPr>
      <w:r w:rsidRPr="009A423F">
        <w:rPr>
          <w:rFonts w:asciiTheme="minorHAnsi" w:eastAsia="Times New Roman" w:hAnsiTheme="minorHAnsi" w:cstheme="minorHAnsi"/>
        </w:rPr>
        <w:t xml:space="preserve"> </w:t>
      </w:r>
    </w:p>
    <w:p w14:paraId="51D5BFF8" w14:textId="5A69FE79" w:rsidR="0004072D" w:rsidRPr="009A423F" w:rsidRDefault="00A52E88" w:rsidP="00BB6745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sz w:val="72"/>
        </w:rPr>
        <w:t>Benefit Hub</w:t>
      </w:r>
      <w:r w:rsidR="002E6163">
        <w:rPr>
          <w:rFonts w:asciiTheme="minorHAnsi" w:eastAsia="Times New Roman" w:hAnsiTheme="minorHAnsi" w:cstheme="minorHAnsi"/>
          <w:b/>
          <w:sz w:val="72"/>
        </w:rPr>
        <w:t xml:space="preserve"> Product Guide</w:t>
      </w:r>
      <w:r w:rsidR="00CA56C7" w:rsidRPr="009A423F">
        <w:rPr>
          <w:rFonts w:asciiTheme="minorHAnsi" w:eastAsia="Times New Roman" w:hAnsiTheme="minorHAnsi" w:cstheme="minorHAnsi"/>
          <w:b/>
          <w:sz w:val="72"/>
        </w:rPr>
        <w:t xml:space="preserve"> </w:t>
      </w:r>
    </w:p>
    <w:p w14:paraId="10326C42" w14:textId="77777777" w:rsidR="0004072D" w:rsidRPr="009A423F" w:rsidRDefault="00CA56C7">
      <w:pPr>
        <w:spacing w:after="0"/>
        <w:rPr>
          <w:rFonts w:asciiTheme="minorHAnsi" w:hAnsiTheme="minorHAnsi" w:cstheme="minorHAnsi"/>
        </w:rPr>
      </w:pPr>
      <w:r w:rsidRPr="009A423F">
        <w:rPr>
          <w:rFonts w:asciiTheme="minorHAnsi" w:eastAsia="Times New Roman" w:hAnsiTheme="minorHAnsi" w:cstheme="minorHAnsi"/>
          <w:b/>
        </w:rPr>
        <w:t xml:space="preserve"> </w:t>
      </w:r>
    </w:p>
    <w:p w14:paraId="796FC750" w14:textId="77777777" w:rsidR="0004072D" w:rsidRPr="009A423F" w:rsidRDefault="00CA56C7">
      <w:pPr>
        <w:spacing w:after="0"/>
        <w:ind w:right="20"/>
        <w:jc w:val="right"/>
        <w:rPr>
          <w:rFonts w:asciiTheme="minorHAnsi" w:hAnsiTheme="minorHAnsi" w:cstheme="minorHAnsi"/>
        </w:rPr>
      </w:pPr>
      <w:r w:rsidRPr="009A423F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F6106CE" wp14:editId="084EDCDD">
                <wp:extent cx="5867400" cy="9525"/>
                <wp:effectExtent l="0" t="0" r="0" b="0"/>
                <wp:docPr id="22488" name="Group 22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30245" name="Shape 30245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88" style="width:462pt;height:0.75pt;mso-position-horizontal-relative:char;mso-position-vertical-relative:line" coordsize="58674,95">
                <v:shape id="Shape 30246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 w:rsidRPr="009A423F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503E2FC3" w14:textId="77777777" w:rsidR="0004072D" w:rsidRPr="009A423F" w:rsidRDefault="00CA56C7">
      <w:pPr>
        <w:spacing w:after="0"/>
        <w:rPr>
          <w:rFonts w:asciiTheme="minorHAnsi" w:hAnsiTheme="minorHAnsi" w:cstheme="minorHAnsi"/>
        </w:rPr>
      </w:pPr>
      <w:r w:rsidRPr="009A423F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7CBB34A9" w14:textId="77777777" w:rsidR="004A1364" w:rsidRPr="009A423F" w:rsidRDefault="00CA56C7" w:rsidP="004A1364">
      <w:pPr>
        <w:spacing w:after="0"/>
        <w:rPr>
          <w:rFonts w:asciiTheme="minorHAnsi" w:eastAsia="Times New Roman" w:hAnsiTheme="minorHAnsi" w:cstheme="minorHAnsi"/>
          <w:b/>
          <w:sz w:val="40"/>
        </w:rPr>
      </w:pPr>
      <w:r w:rsidRPr="009A423F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207368701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4E03C05" w14:textId="77777777" w:rsidR="004A1364" w:rsidRPr="009A423F" w:rsidRDefault="004A1364">
          <w:pPr>
            <w:pStyle w:val="TOCHeading"/>
            <w:rPr>
              <w:rFonts w:asciiTheme="minorHAnsi" w:hAnsiTheme="minorHAnsi" w:cstheme="minorHAnsi"/>
            </w:rPr>
          </w:pPr>
          <w:r w:rsidRPr="009A423F">
            <w:rPr>
              <w:rFonts w:asciiTheme="minorHAnsi" w:hAnsiTheme="minorHAnsi" w:cstheme="minorHAnsi"/>
            </w:rPr>
            <w:t>Table of Contents</w:t>
          </w:r>
        </w:p>
        <w:p w14:paraId="0FC2ADEF" w14:textId="46901D26" w:rsidR="00446D7F" w:rsidRDefault="004A1364">
          <w:pPr>
            <w:pStyle w:val="TOC1"/>
            <w:tabs>
              <w:tab w:val="right" w:leader="dot" w:pos="94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9A423F">
            <w:rPr>
              <w:rFonts w:asciiTheme="minorHAnsi" w:hAnsiTheme="minorHAnsi" w:cstheme="minorHAnsi"/>
            </w:rPr>
            <w:fldChar w:fldCharType="begin"/>
          </w:r>
          <w:r w:rsidRPr="009A423F">
            <w:rPr>
              <w:rFonts w:asciiTheme="minorHAnsi" w:hAnsiTheme="minorHAnsi" w:cstheme="minorHAnsi"/>
            </w:rPr>
            <w:instrText xml:space="preserve"> TOC \o "1-3" \h \z \u </w:instrText>
          </w:r>
          <w:r w:rsidRPr="009A423F">
            <w:rPr>
              <w:rFonts w:asciiTheme="minorHAnsi" w:hAnsiTheme="minorHAnsi" w:cstheme="minorHAnsi"/>
            </w:rPr>
            <w:fldChar w:fldCharType="separate"/>
          </w:r>
          <w:hyperlink w:anchor="_Toc39043817" w:history="1">
            <w:r w:rsidR="00446D7F" w:rsidRPr="00B05941">
              <w:rPr>
                <w:rStyle w:val="Hyperlink"/>
                <w:rFonts w:cstheme="minorHAnsi"/>
                <w:noProof/>
              </w:rPr>
              <w:t>Benefit Hubs Overview</w:t>
            </w:r>
            <w:r w:rsidR="00446D7F">
              <w:rPr>
                <w:noProof/>
                <w:webHidden/>
              </w:rPr>
              <w:tab/>
            </w:r>
            <w:r w:rsidR="00446D7F">
              <w:rPr>
                <w:noProof/>
                <w:webHidden/>
              </w:rPr>
              <w:fldChar w:fldCharType="begin"/>
            </w:r>
            <w:r w:rsidR="00446D7F">
              <w:rPr>
                <w:noProof/>
                <w:webHidden/>
              </w:rPr>
              <w:instrText xml:space="preserve"> PAGEREF _Toc39043817 \h </w:instrText>
            </w:r>
            <w:r w:rsidR="00446D7F">
              <w:rPr>
                <w:noProof/>
                <w:webHidden/>
              </w:rPr>
            </w:r>
            <w:r w:rsidR="00446D7F">
              <w:rPr>
                <w:noProof/>
                <w:webHidden/>
              </w:rPr>
              <w:fldChar w:fldCharType="separate"/>
            </w:r>
            <w:r w:rsidR="00446D7F">
              <w:rPr>
                <w:noProof/>
                <w:webHidden/>
              </w:rPr>
              <w:t>2</w:t>
            </w:r>
            <w:r w:rsidR="00446D7F">
              <w:rPr>
                <w:noProof/>
                <w:webHidden/>
              </w:rPr>
              <w:fldChar w:fldCharType="end"/>
            </w:r>
          </w:hyperlink>
        </w:p>
        <w:p w14:paraId="3A977221" w14:textId="50AC8971" w:rsidR="00446D7F" w:rsidRDefault="00446D7F">
          <w:pPr>
            <w:pStyle w:val="TOC2"/>
            <w:tabs>
              <w:tab w:val="right" w:leader="dot" w:pos="94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43818" w:history="1">
            <w:r w:rsidRPr="00B05941">
              <w:rPr>
                <w:rStyle w:val="Hyperlink"/>
                <w:rFonts w:cstheme="minorHAnsi"/>
                <w:noProof/>
              </w:rPr>
              <w:t>User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40B1" w14:textId="520DA153" w:rsidR="00446D7F" w:rsidRDefault="00446D7F">
          <w:pPr>
            <w:pStyle w:val="TOC2"/>
            <w:tabs>
              <w:tab w:val="right" w:leader="dot" w:pos="94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43819" w:history="1">
            <w:r w:rsidRPr="00B05941">
              <w:rPr>
                <w:rStyle w:val="Hyperlink"/>
                <w:rFonts w:cstheme="minorHAnsi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A4EF" w14:textId="511C00AF" w:rsidR="00446D7F" w:rsidRDefault="00446D7F">
          <w:pPr>
            <w:pStyle w:val="TOC1"/>
            <w:tabs>
              <w:tab w:val="right" w:leader="dot" w:pos="94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43820" w:history="1">
            <w:r w:rsidRPr="00B05941">
              <w:rPr>
                <w:rStyle w:val="Hyperlink"/>
                <w:rFonts w:cstheme="minorHAnsi"/>
                <w:noProof/>
              </w:rPr>
              <w:t>Benefit Hub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4E79" w14:textId="21E8867D" w:rsidR="00446D7F" w:rsidRDefault="00446D7F">
          <w:pPr>
            <w:pStyle w:val="TOC1"/>
            <w:tabs>
              <w:tab w:val="right" w:leader="dot" w:pos="94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43821" w:history="1">
            <w:r w:rsidRPr="00B05941">
              <w:rPr>
                <w:rStyle w:val="Hyperlink"/>
                <w:noProof/>
              </w:rPr>
              <w:t>Issues or Error Messages: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564B" w14:textId="69078D1C" w:rsidR="00446D7F" w:rsidRDefault="00446D7F">
          <w:pPr>
            <w:pStyle w:val="TOC3"/>
            <w:tabs>
              <w:tab w:val="right" w:leader="dot" w:pos="94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043822" w:history="1">
            <w:r w:rsidRPr="00B05941">
              <w:rPr>
                <w:rStyle w:val="Hyperlink"/>
                <w:noProof/>
              </w:rPr>
              <w:t>Incorrect Information or Missing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4905" w14:textId="3A7C972B" w:rsidR="00446D7F" w:rsidRDefault="00446D7F">
          <w:pPr>
            <w:pStyle w:val="TOC3"/>
            <w:tabs>
              <w:tab w:val="right" w:leader="dot" w:pos="94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043823" w:history="1">
            <w:r w:rsidRPr="00B05941">
              <w:rPr>
                <w:rStyle w:val="Hyperlink"/>
                <w:noProof/>
              </w:rPr>
              <w:t>Broken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0337C" w14:textId="5E8A8ECC" w:rsidR="00446D7F" w:rsidRDefault="00446D7F">
          <w:pPr>
            <w:pStyle w:val="TOC3"/>
            <w:tabs>
              <w:tab w:val="right" w:leader="dot" w:pos="94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043824" w:history="1">
            <w:r w:rsidRPr="00B05941">
              <w:rPr>
                <w:rStyle w:val="Hyperlink"/>
                <w:noProof/>
              </w:rPr>
              <w:t>Benefit Hub Technical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B712" w14:textId="2FBA0E48" w:rsidR="004A1364" w:rsidRPr="009A423F" w:rsidRDefault="004A1364">
          <w:pPr>
            <w:rPr>
              <w:rFonts w:asciiTheme="minorHAnsi" w:hAnsiTheme="minorHAnsi" w:cstheme="minorHAnsi"/>
            </w:rPr>
          </w:pPr>
          <w:r w:rsidRPr="009A423F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112CDA93" w14:textId="77777777" w:rsidR="0004072D" w:rsidRPr="009A423F" w:rsidRDefault="0004072D">
      <w:pPr>
        <w:spacing w:after="0"/>
        <w:rPr>
          <w:rFonts w:asciiTheme="minorHAnsi" w:hAnsiTheme="minorHAnsi" w:cstheme="minorHAnsi"/>
        </w:rPr>
      </w:pPr>
    </w:p>
    <w:p w14:paraId="00C9F340" w14:textId="77777777" w:rsidR="0004072D" w:rsidRPr="009A423F" w:rsidRDefault="0004072D">
      <w:pPr>
        <w:spacing w:after="0"/>
        <w:rPr>
          <w:rFonts w:asciiTheme="minorHAnsi" w:hAnsiTheme="minorHAnsi" w:cstheme="minorHAnsi"/>
        </w:rPr>
      </w:pPr>
    </w:p>
    <w:p w14:paraId="5E859A6A" w14:textId="77777777" w:rsidR="0004072D" w:rsidRPr="009A423F" w:rsidRDefault="00CA56C7">
      <w:pPr>
        <w:spacing w:after="150"/>
        <w:rPr>
          <w:rFonts w:asciiTheme="minorHAnsi" w:hAnsiTheme="minorHAnsi" w:cstheme="minorHAnsi"/>
        </w:rPr>
      </w:pPr>
      <w:r w:rsidRPr="009A423F">
        <w:rPr>
          <w:rFonts w:asciiTheme="minorHAnsi" w:eastAsia="Times New Roman" w:hAnsiTheme="minorHAnsi" w:cstheme="minorHAnsi"/>
        </w:rPr>
        <w:t xml:space="preserve"> </w:t>
      </w:r>
    </w:p>
    <w:p w14:paraId="4681CF3E" w14:textId="77777777" w:rsidR="0004072D" w:rsidRPr="009A423F" w:rsidRDefault="00CA56C7">
      <w:pPr>
        <w:spacing w:after="0"/>
        <w:rPr>
          <w:rFonts w:asciiTheme="minorHAnsi" w:hAnsiTheme="minorHAnsi" w:cstheme="minorHAnsi"/>
        </w:rPr>
      </w:pPr>
      <w:r w:rsidRPr="009A423F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7CF850B1" w14:textId="77777777" w:rsidR="004A1364" w:rsidRPr="009A423F" w:rsidRDefault="00CA56C7" w:rsidP="004A1364">
      <w:pPr>
        <w:spacing w:after="0"/>
        <w:rPr>
          <w:rFonts w:asciiTheme="minorHAnsi" w:hAnsiTheme="minorHAnsi" w:cstheme="minorHAnsi"/>
        </w:rPr>
      </w:pPr>
      <w:r w:rsidRPr="009A423F">
        <w:rPr>
          <w:rFonts w:asciiTheme="minorHAnsi" w:eastAsia="Times New Roman" w:hAnsiTheme="minorHAnsi" w:cstheme="minorHAnsi"/>
          <w:b/>
          <w:sz w:val="40"/>
        </w:rPr>
        <w:t xml:space="preserve"> </w:t>
      </w:r>
      <w:r w:rsidRPr="009A423F">
        <w:rPr>
          <w:rFonts w:asciiTheme="minorHAnsi" w:eastAsia="Times New Roman" w:hAnsiTheme="minorHAnsi" w:cstheme="minorHAnsi"/>
          <w:b/>
          <w:sz w:val="40"/>
        </w:rPr>
        <w:tab/>
        <w:t xml:space="preserve"> </w:t>
      </w:r>
    </w:p>
    <w:p w14:paraId="5D3C87F7" w14:textId="6C8F1E84" w:rsidR="004A727C" w:rsidRDefault="004A727C" w:rsidP="004A1364">
      <w:pPr>
        <w:spacing w:after="0"/>
        <w:rPr>
          <w:rFonts w:asciiTheme="minorHAnsi" w:hAnsiTheme="minorHAnsi" w:cstheme="minorHAnsi"/>
        </w:rPr>
      </w:pPr>
    </w:p>
    <w:p w14:paraId="49929581" w14:textId="688BA373" w:rsidR="00446D7F" w:rsidRDefault="00446D7F" w:rsidP="004A1364">
      <w:pPr>
        <w:spacing w:after="0"/>
        <w:rPr>
          <w:rFonts w:asciiTheme="minorHAnsi" w:hAnsiTheme="minorHAnsi" w:cstheme="minorHAnsi"/>
        </w:rPr>
      </w:pPr>
    </w:p>
    <w:p w14:paraId="500A6D5C" w14:textId="77777777" w:rsidR="00446D7F" w:rsidRDefault="00446D7F" w:rsidP="004A1364">
      <w:pPr>
        <w:spacing w:after="0"/>
        <w:rPr>
          <w:rFonts w:asciiTheme="minorHAnsi" w:hAnsiTheme="minorHAnsi" w:cstheme="minorHAnsi"/>
        </w:rPr>
      </w:pPr>
    </w:p>
    <w:p w14:paraId="7638FDB2" w14:textId="77777777" w:rsidR="001E5E5C" w:rsidRDefault="001E5E5C" w:rsidP="004A1364">
      <w:pPr>
        <w:spacing w:after="0"/>
        <w:rPr>
          <w:rFonts w:asciiTheme="minorHAnsi" w:hAnsiTheme="minorHAnsi" w:cstheme="minorHAnsi"/>
        </w:rPr>
      </w:pPr>
    </w:p>
    <w:p w14:paraId="04B596AD" w14:textId="2718472E" w:rsidR="00D815AE" w:rsidRDefault="00D815AE" w:rsidP="004A1364">
      <w:pPr>
        <w:spacing w:after="0"/>
        <w:rPr>
          <w:rFonts w:asciiTheme="minorHAnsi" w:hAnsiTheme="minorHAnsi" w:cstheme="minorHAnsi"/>
        </w:rPr>
      </w:pPr>
    </w:p>
    <w:p w14:paraId="696F6775" w14:textId="77777777" w:rsidR="00A52E88" w:rsidRPr="009A423F" w:rsidRDefault="00A52E88" w:rsidP="004A1364">
      <w:pPr>
        <w:spacing w:after="0"/>
        <w:rPr>
          <w:rFonts w:asciiTheme="minorHAnsi" w:hAnsiTheme="minorHAnsi" w:cstheme="minorHAnsi"/>
        </w:rPr>
      </w:pPr>
    </w:p>
    <w:p w14:paraId="45622FA2" w14:textId="1D87ED4B" w:rsidR="00B56E37" w:rsidRDefault="00A52E88" w:rsidP="004A1364">
      <w:pPr>
        <w:pStyle w:val="Heading1"/>
        <w:rPr>
          <w:rFonts w:cstheme="minorHAnsi"/>
        </w:rPr>
      </w:pPr>
      <w:bookmarkStart w:id="0" w:name="_Toc39043817"/>
      <w:r>
        <w:rPr>
          <w:rFonts w:cstheme="minorHAnsi"/>
        </w:rPr>
        <w:lastRenderedPageBreak/>
        <w:t>Benefit Hubs</w:t>
      </w:r>
      <w:r w:rsidR="00D815AE">
        <w:rPr>
          <w:rFonts w:cstheme="minorHAnsi"/>
        </w:rPr>
        <w:t xml:space="preserve"> Overview</w:t>
      </w:r>
      <w:bookmarkEnd w:id="0"/>
    </w:p>
    <w:p w14:paraId="0F9CDC55" w14:textId="6D4542C5" w:rsidR="002E6163" w:rsidRDefault="00A52E88" w:rsidP="002E6163">
      <w:pPr>
        <w:rPr>
          <w:lang w:val="en"/>
        </w:rPr>
      </w:pPr>
      <w:r>
        <w:rPr>
          <w:lang w:val="en"/>
        </w:rPr>
        <w:t xml:space="preserve">VA.gov provides information on different benefits. Each benefit type has </w:t>
      </w:r>
      <w:proofErr w:type="gramStart"/>
      <w:r>
        <w:rPr>
          <w:lang w:val="en"/>
        </w:rPr>
        <w:t>it’s</w:t>
      </w:r>
      <w:proofErr w:type="gramEnd"/>
      <w:r>
        <w:rPr>
          <w:lang w:val="en"/>
        </w:rPr>
        <w:t xml:space="preserve"> own introduction page that acts as the hub for all the information related to that benefit. Currently, VA.gov has eleven benefit hubs:</w:t>
      </w:r>
    </w:p>
    <w:p w14:paraId="768EFDAD" w14:textId="77777777" w:rsid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  <w:sectPr w:rsidR="00A52E88" w:rsidSect="004A727C">
          <w:footerReference w:type="even" r:id="rId8"/>
          <w:footerReference w:type="default" r:id="rId9"/>
          <w:footerReference w:type="first" r:id="rId10"/>
          <w:pgSz w:w="12240" w:h="15840"/>
          <w:pgMar w:top="1448" w:right="1649" w:bottom="2064" w:left="1140" w:header="720" w:footer="690" w:gutter="0"/>
          <w:cols w:space="720"/>
        </w:sectPr>
      </w:pPr>
    </w:p>
    <w:p w14:paraId="151F74FB" w14:textId="3AC36F3B" w:rsid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Health care</w:t>
      </w:r>
    </w:p>
    <w:p w14:paraId="1B5707E0" w14:textId="4D4F9EA6" w:rsid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Disability</w:t>
      </w:r>
    </w:p>
    <w:p w14:paraId="02862EFC" w14:textId="436D068A" w:rsid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Education and training</w:t>
      </w:r>
    </w:p>
    <w:p w14:paraId="48A0A88F" w14:textId="4BCD76F5" w:rsid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Careers and employment</w:t>
      </w:r>
    </w:p>
    <w:p w14:paraId="2459669A" w14:textId="77D16556" w:rsid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Pension</w:t>
      </w:r>
    </w:p>
    <w:p w14:paraId="3729853C" w14:textId="20F21782" w:rsid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Housing assistance</w:t>
      </w:r>
    </w:p>
    <w:p w14:paraId="027CAA73" w14:textId="63F99FD7" w:rsid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Burials and memorials</w:t>
      </w:r>
    </w:p>
    <w:p w14:paraId="7A75F709" w14:textId="6A9EA090" w:rsid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Life insurance</w:t>
      </w:r>
    </w:p>
    <w:p w14:paraId="6282B350" w14:textId="3F302275" w:rsid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Records</w:t>
      </w:r>
    </w:p>
    <w:p w14:paraId="34A6B201" w14:textId="14BA9608" w:rsid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Service member benefits</w:t>
      </w:r>
    </w:p>
    <w:p w14:paraId="551A7743" w14:textId="09E0E6F6" w:rsidR="00A52E88" w:rsidRPr="00A52E88" w:rsidRDefault="00A52E88" w:rsidP="00A52E88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Family member benefits</w:t>
      </w:r>
    </w:p>
    <w:p w14:paraId="284C2F9C" w14:textId="77777777" w:rsidR="00A52E88" w:rsidRDefault="00A52E88" w:rsidP="002E6163">
      <w:pPr>
        <w:rPr>
          <w:lang w:val="en"/>
        </w:rPr>
        <w:sectPr w:rsidR="00A52E88" w:rsidSect="00A52E88">
          <w:type w:val="continuous"/>
          <w:pgSz w:w="12240" w:h="15840"/>
          <w:pgMar w:top="1448" w:right="1649" w:bottom="2064" w:left="1140" w:header="720" w:footer="690" w:gutter="0"/>
          <w:cols w:num="2" w:space="720"/>
        </w:sectPr>
      </w:pPr>
    </w:p>
    <w:p w14:paraId="5DEADF42" w14:textId="66A6CE7B" w:rsidR="00BE109E" w:rsidRPr="002E6163" w:rsidRDefault="00BE109E" w:rsidP="002E6163">
      <w:pPr>
        <w:rPr>
          <w:lang w:val="en"/>
        </w:rPr>
      </w:pPr>
    </w:p>
    <w:p w14:paraId="76A4CBB2" w14:textId="77777777" w:rsidR="004A1364" w:rsidRPr="009A423F" w:rsidRDefault="00CA56C7" w:rsidP="009A423F">
      <w:pPr>
        <w:pStyle w:val="Heading2"/>
        <w:rPr>
          <w:rFonts w:cstheme="minorHAnsi"/>
        </w:rPr>
      </w:pPr>
      <w:bookmarkStart w:id="1" w:name="_Toc39043818"/>
      <w:r w:rsidRPr="009A423F">
        <w:rPr>
          <w:rFonts w:cstheme="minorHAnsi"/>
        </w:rPr>
        <w:t>User Access</w:t>
      </w:r>
      <w:bookmarkEnd w:id="1"/>
      <w:r w:rsidRPr="009A423F">
        <w:rPr>
          <w:rFonts w:cstheme="minorHAnsi"/>
        </w:rPr>
        <w:t xml:space="preserve"> </w:t>
      </w:r>
    </w:p>
    <w:p w14:paraId="219D0E4B" w14:textId="37340F03" w:rsidR="00EF68B6" w:rsidRPr="00D815AE" w:rsidRDefault="002E6163" w:rsidP="00D815AE">
      <w:pPr>
        <w:spacing w:after="0" w:line="247" w:lineRule="auto"/>
        <w:ind w:left="-5" w:right="103" w:hanging="1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Any user</w:t>
      </w:r>
      <w:r w:rsidR="00612BC2">
        <w:rPr>
          <w:rFonts w:asciiTheme="minorHAnsi" w:eastAsia="Times New Roman" w:hAnsiTheme="minorHAnsi" w:cstheme="minorHAnsi"/>
        </w:rPr>
        <w:t xml:space="preserve"> on</w:t>
      </w:r>
      <w:r>
        <w:rPr>
          <w:rFonts w:asciiTheme="minorHAnsi" w:eastAsia="Times New Roman" w:hAnsiTheme="minorHAnsi" w:cstheme="minorHAnsi"/>
        </w:rPr>
        <w:t xml:space="preserve"> VA.gov account can </w:t>
      </w:r>
      <w:r w:rsidR="00A52E88">
        <w:rPr>
          <w:rFonts w:asciiTheme="minorHAnsi" w:eastAsia="Times New Roman" w:hAnsiTheme="minorHAnsi" w:cstheme="minorHAnsi"/>
        </w:rPr>
        <w:t xml:space="preserve">access these benefit hubs and the information on them. </w:t>
      </w:r>
      <w:r w:rsidR="00612BC2">
        <w:rPr>
          <w:b/>
          <w:bCs/>
        </w:rPr>
        <w:t xml:space="preserve">You do not need an account to access </w:t>
      </w:r>
      <w:r w:rsidR="003E2507">
        <w:rPr>
          <w:b/>
          <w:bCs/>
        </w:rPr>
        <w:t>benefit hubs</w:t>
      </w:r>
      <w:r w:rsidR="00612BC2">
        <w:rPr>
          <w:b/>
          <w:bCs/>
        </w:rPr>
        <w:t>.</w:t>
      </w:r>
      <w:r>
        <w:rPr>
          <w:rFonts w:asciiTheme="minorHAnsi" w:eastAsia="Times New Roman" w:hAnsiTheme="minorHAnsi" w:cstheme="minorHAnsi"/>
        </w:rPr>
        <w:t xml:space="preserve"> </w:t>
      </w:r>
      <w:r w:rsidR="003E2507">
        <w:rPr>
          <w:rFonts w:asciiTheme="minorHAnsi" w:eastAsia="Times New Roman" w:hAnsiTheme="minorHAnsi" w:cstheme="minorHAnsi"/>
        </w:rPr>
        <w:t xml:space="preserve">However, the benefit hubs do link to some tools and features that may require a VA.gov account. </w:t>
      </w:r>
    </w:p>
    <w:p w14:paraId="213A1E7A" w14:textId="77777777" w:rsidR="004A1364" w:rsidRPr="00EF68B6" w:rsidRDefault="00CA56C7" w:rsidP="004A727C">
      <w:pPr>
        <w:spacing w:after="150"/>
        <w:rPr>
          <w:rFonts w:asciiTheme="minorHAnsi" w:hAnsiTheme="minorHAnsi" w:cstheme="minorHAnsi"/>
        </w:rPr>
      </w:pPr>
      <w:r w:rsidRPr="009A423F">
        <w:rPr>
          <w:rFonts w:asciiTheme="minorHAnsi" w:eastAsia="Times New Roman" w:hAnsiTheme="minorHAnsi" w:cstheme="minorHAnsi"/>
        </w:rPr>
        <w:t xml:space="preserve"> </w:t>
      </w:r>
    </w:p>
    <w:p w14:paraId="4DAFEFE2" w14:textId="77777777" w:rsidR="0004072D" w:rsidRPr="009A423F" w:rsidRDefault="00CA56C7" w:rsidP="004A727C">
      <w:pPr>
        <w:pStyle w:val="Heading2"/>
        <w:rPr>
          <w:rFonts w:cstheme="minorHAnsi"/>
        </w:rPr>
      </w:pPr>
      <w:bookmarkStart w:id="2" w:name="_Toc39043819"/>
      <w:r w:rsidRPr="009A423F">
        <w:rPr>
          <w:rFonts w:cstheme="minorHAnsi"/>
        </w:rPr>
        <w:t>Navigation</w:t>
      </w:r>
      <w:bookmarkEnd w:id="2"/>
      <w:r w:rsidRPr="009A423F">
        <w:rPr>
          <w:rFonts w:cstheme="minorHAnsi"/>
        </w:rPr>
        <w:t xml:space="preserve"> </w:t>
      </w:r>
    </w:p>
    <w:p w14:paraId="71928877" w14:textId="0DC01F28" w:rsidR="00D815AE" w:rsidRDefault="00CA56C7" w:rsidP="00D815AE">
      <w:pPr>
        <w:spacing w:after="124" w:line="247" w:lineRule="auto"/>
        <w:ind w:left="-5" w:right="103" w:hanging="10"/>
        <w:rPr>
          <w:rFonts w:asciiTheme="minorHAnsi" w:eastAsia="Times New Roman" w:hAnsiTheme="minorHAnsi" w:cstheme="minorHAnsi"/>
          <w:b/>
          <w:szCs w:val="24"/>
        </w:rPr>
      </w:pPr>
      <w:r w:rsidRPr="00D4640D">
        <w:rPr>
          <w:rFonts w:asciiTheme="minorHAnsi" w:eastAsia="Times New Roman" w:hAnsiTheme="minorHAnsi" w:cstheme="minorHAnsi"/>
          <w:b/>
          <w:szCs w:val="24"/>
        </w:rPr>
        <w:t>Direct url</w:t>
      </w:r>
      <w:r w:rsidR="00C56CDB">
        <w:rPr>
          <w:rFonts w:asciiTheme="minorHAnsi" w:eastAsia="Times New Roman" w:hAnsiTheme="minorHAnsi" w:cstheme="minorHAnsi"/>
          <w:b/>
          <w:szCs w:val="24"/>
        </w:rPr>
        <w:t>s:</w:t>
      </w:r>
    </w:p>
    <w:p w14:paraId="4AC3D10C" w14:textId="0B8EB45D" w:rsidR="00C56CDB" w:rsidRDefault="00C56CDB" w:rsidP="00C56CD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Health care</w:t>
      </w:r>
      <w:r>
        <w:rPr>
          <w:lang w:val="en"/>
        </w:rPr>
        <w:t xml:space="preserve">: </w:t>
      </w:r>
      <w:hyperlink r:id="rId11" w:history="1">
        <w:r>
          <w:rPr>
            <w:rStyle w:val="Hyperlink"/>
          </w:rPr>
          <w:t>https://www.va.gov/health-care/</w:t>
        </w:r>
      </w:hyperlink>
    </w:p>
    <w:p w14:paraId="553794B2" w14:textId="3239A643" w:rsidR="00C56CDB" w:rsidRDefault="00C56CDB" w:rsidP="00C56CD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Disability</w:t>
      </w:r>
      <w:r>
        <w:rPr>
          <w:lang w:val="en"/>
        </w:rPr>
        <w:t>:</w:t>
      </w:r>
      <w:r w:rsidRPr="00C56CDB">
        <w:t xml:space="preserve"> </w:t>
      </w:r>
      <w:hyperlink r:id="rId12" w:history="1">
        <w:r>
          <w:rPr>
            <w:rStyle w:val="Hyperlink"/>
          </w:rPr>
          <w:t>https://www.va.gov/disability/</w:t>
        </w:r>
      </w:hyperlink>
    </w:p>
    <w:p w14:paraId="50505A9D" w14:textId="6FC8FD39" w:rsidR="00C56CDB" w:rsidRDefault="00C56CDB" w:rsidP="00C56CD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Education and training</w:t>
      </w:r>
      <w:r>
        <w:rPr>
          <w:lang w:val="en"/>
        </w:rPr>
        <w:t xml:space="preserve">: </w:t>
      </w:r>
      <w:hyperlink r:id="rId13" w:history="1">
        <w:r>
          <w:rPr>
            <w:rStyle w:val="Hyperlink"/>
          </w:rPr>
          <w:t>https://www.va.gov/education/</w:t>
        </w:r>
      </w:hyperlink>
    </w:p>
    <w:p w14:paraId="35B10CBB" w14:textId="71AFE4A6" w:rsidR="00C56CDB" w:rsidRDefault="00C56CDB" w:rsidP="00C56CD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Careers and employment</w:t>
      </w:r>
      <w:r>
        <w:rPr>
          <w:lang w:val="en"/>
        </w:rPr>
        <w:t xml:space="preserve">: </w:t>
      </w:r>
      <w:hyperlink r:id="rId14" w:history="1">
        <w:r>
          <w:rPr>
            <w:rStyle w:val="Hyperlink"/>
          </w:rPr>
          <w:t>https://www.va.gov/careers-employment/</w:t>
        </w:r>
      </w:hyperlink>
    </w:p>
    <w:p w14:paraId="644237A6" w14:textId="25B008A2" w:rsidR="00C56CDB" w:rsidRDefault="00C56CDB" w:rsidP="00C56CD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Pension</w:t>
      </w:r>
      <w:r>
        <w:rPr>
          <w:lang w:val="en"/>
        </w:rPr>
        <w:t xml:space="preserve">: </w:t>
      </w:r>
      <w:hyperlink r:id="rId15" w:history="1">
        <w:r>
          <w:rPr>
            <w:rStyle w:val="Hyperlink"/>
          </w:rPr>
          <w:t>https://www.va.gov/pension/</w:t>
        </w:r>
      </w:hyperlink>
    </w:p>
    <w:p w14:paraId="5B5DD3B7" w14:textId="6C22CF88" w:rsidR="00C56CDB" w:rsidRDefault="00C56CDB" w:rsidP="00C56CD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Housing assistance</w:t>
      </w:r>
      <w:r>
        <w:rPr>
          <w:lang w:val="en"/>
        </w:rPr>
        <w:t xml:space="preserve">: </w:t>
      </w:r>
      <w:hyperlink r:id="rId16" w:history="1">
        <w:r>
          <w:rPr>
            <w:rStyle w:val="Hyperlink"/>
          </w:rPr>
          <w:t>https://www.va.gov/housing-assistance/</w:t>
        </w:r>
      </w:hyperlink>
    </w:p>
    <w:p w14:paraId="7C7307E0" w14:textId="7DC543CE" w:rsidR="00C56CDB" w:rsidRDefault="00C56CDB" w:rsidP="00C56CD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Burials and memorials</w:t>
      </w:r>
      <w:r>
        <w:rPr>
          <w:lang w:val="en"/>
        </w:rPr>
        <w:t xml:space="preserve">: </w:t>
      </w:r>
      <w:hyperlink r:id="rId17" w:history="1">
        <w:r>
          <w:rPr>
            <w:rStyle w:val="Hyperlink"/>
          </w:rPr>
          <w:t>https://www.va.gov/burials-memorials/</w:t>
        </w:r>
      </w:hyperlink>
    </w:p>
    <w:p w14:paraId="64020D11" w14:textId="47A2F3D6" w:rsidR="00C56CDB" w:rsidRDefault="00C56CDB" w:rsidP="00C56CD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Life insurance</w:t>
      </w:r>
      <w:r>
        <w:rPr>
          <w:lang w:val="en"/>
        </w:rPr>
        <w:t xml:space="preserve">: </w:t>
      </w:r>
      <w:hyperlink r:id="rId18" w:history="1">
        <w:r>
          <w:rPr>
            <w:rStyle w:val="Hyperlink"/>
          </w:rPr>
          <w:t>https://www.va.gov/life-insurance/</w:t>
        </w:r>
      </w:hyperlink>
    </w:p>
    <w:p w14:paraId="3DBC2635" w14:textId="0D020186" w:rsidR="00C56CDB" w:rsidRDefault="00C56CDB" w:rsidP="00C56CD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Records</w:t>
      </w:r>
      <w:r>
        <w:rPr>
          <w:lang w:val="en"/>
        </w:rPr>
        <w:t xml:space="preserve">: </w:t>
      </w:r>
      <w:hyperlink r:id="rId19" w:history="1">
        <w:r>
          <w:rPr>
            <w:rStyle w:val="Hyperlink"/>
          </w:rPr>
          <w:t>https://www.va.gov/records/</w:t>
        </w:r>
      </w:hyperlink>
    </w:p>
    <w:p w14:paraId="7612A1B5" w14:textId="5FA63B3D" w:rsidR="00C56CDB" w:rsidRDefault="00C56CDB" w:rsidP="00C56CD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Service member benefits</w:t>
      </w:r>
      <w:r>
        <w:rPr>
          <w:lang w:val="en"/>
        </w:rPr>
        <w:t xml:space="preserve">: </w:t>
      </w:r>
      <w:hyperlink r:id="rId20" w:history="1">
        <w:r>
          <w:rPr>
            <w:rStyle w:val="Hyperlink"/>
          </w:rPr>
          <w:t>https://www.va.gov/service-member-benefits/</w:t>
        </w:r>
      </w:hyperlink>
    </w:p>
    <w:p w14:paraId="43D29085" w14:textId="0AFC5015" w:rsidR="00C56CDB" w:rsidRPr="00A52E88" w:rsidRDefault="00C56CDB" w:rsidP="00C56CD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Family member benefits</w:t>
      </w:r>
      <w:r>
        <w:rPr>
          <w:lang w:val="en"/>
        </w:rPr>
        <w:t xml:space="preserve">: </w:t>
      </w:r>
      <w:hyperlink r:id="rId21" w:history="1">
        <w:r>
          <w:rPr>
            <w:rStyle w:val="Hyperlink"/>
          </w:rPr>
          <w:t>https://www.va.gov/family-member-benefits/</w:t>
        </w:r>
      </w:hyperlink>
    </w:p>
    <w:p w14:paraId="1E780678" w14:textId="1DEB0889" w:rsidR="00C56CDB" w:rsidRDefault="00C56CDB" w:rsidP="00D815AE">
      <w:pPr>
        <w:spacing w:after="124" w:line="247" w:lineRule="auto"/>
        <w:ind w:left="-5" w:right="103" w:hanging="10"/>
        <w:rPr>
          <w:rFonts w:asciiTheme="minorHAnsi" w:hAnsiTheme="minorHAnsi" w:cstheme="minorHAnsi"/>
          <w:szCs w:val="24"/>
        </w:rPr>
      </w:pPr>
    </w:p>
    <w:p w14:paraId="5CB334ED" w14:textId="62025B09" w:rsidR="00C56CDB" w:rsidRDefault="00C56CDB" w:rsidP="00D815AE">
      <w:pPr>
        <w:spacing w:after="124" w:line="247" w:lineRule="auto"/>
        <w:ind w:left="-5" w:right="103" w:hanging="10"/>
        <w:rPr>
          <w:rFonts w:asciiTheme="minorHAnsi" w:hAnsiTheme="minorHAnsi" w:cstheme="minorHAnsi"/>
          <w:szCs w:val="24"/>
        </w:rPr>
      </w:pPr>
    </w:p>
    <w:p w14:paraId="0F6B5A8A" w14:textId="77777777" w:rsidR="00C56CDB" w:rsidRPr="00D4640D" w:rsidRDefault="00C56CDB" w:rsidP="00D815AE">
      <w:pPr>
        <w:spacing w:after="124" w:line="247" w:lineRule="auto"/>
        <w:ind w:left="-5" w:right="103" w:hanging="10"/>
        <w:rPr>
          <w:rFonts w:asciiTheme="minorHAnsi" w:hAnsiTheme="minorHAnsi" w:cstheme="minorHAnsi"/>
          <w:szCs w:val="24"/>
        </w:rPr>
      </w:pPr>
    </w:p>
    <w:p w14:paraId="5116247F" w14:textId="3DC1E908" w:rsidR="002E6163" w:rsidRDefault="00C56CDB" w:rsidP="004A727C">
      <w:pPr>
        <w:spacing w:after="124" w:line="247" w:lineRule="auto"/>
        <w:ind w:left="-5" w:right="103" w:hanging="1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lastRenderedPageBreak/>
        <w:t>Users can also access any benefit hub page using the main menu found in the VA.gov header:</w:t>
      </w:r>
    </w:p>
    <w:p w14:paraId="5315A515" w14:textId="1991D0D6" w:rsidR="00C56CDB" w:rsidRPr="002E6163" w:rsidRDefault="00C56CDB" w:rsidP="004A727C">
      <w:pPr>
        <w:spacing w:after="124" w:line="247" w:lineRule="auto"/>
        <w:ind w:left="-5" w:right="103" w:hanging="10"/>
        <w:rPr>
          <w:rFonts w:asciiTheme="minorHAnsi" w:eastAsia="Times New Roman" w:hAnsiTheme="minorHAnsi" w:cstheme="minorHAnsi"/>
        </w:rPr>
      </w:pPr>
      <w:r>
        <w:rPr>
          <w:noProof/>
        </w:rPr>
        <w:drawing>
          <wp:inline distT="0" distB="0" distL="0" distR="0" wp14:anchorId="0A056089" wp14:editId="410124B3">
            <wp:extent cx="6001385" cy="3237230"/>
            <wp:effectExtent l="19050" t="19050" r="1841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3237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E9311" w14:textId="6D431764" w:rsidR="002E6163" w:rsidRDefault="00C56CDB" w:rsidP="004A727C">
      <w:pPr>
        <w:spacing w:after="124" w:line="247" w:lineRule="auto"/>
        <w:ind w:left="-5" w:right="103" w:hanging="1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There are also links on the main page that will take a user to specific benefit tools or </w:t>
      </w:r>
      <w:proofErr w:type="gramStart"/>
      <w:r>
        <w:rPr>
          <w:rFonts w:asciiTheme="minorHAnsi" w:eastAsia="Times New Roman" w:hAnsiTheme="minorHAnsi" w:cstheme="minorHAnsi"/>
        </w:rPr>
        <w:t>features</w:t>
      </w:r>
      <w:proofErr w:type="gramEnd"/>
      <w:r>
        <w:rPr>
          <w:rFonts w:asciiTheme="minorHAnsi" w:eastAsia="Times New Roman" w:hAnsiTheme="minorHAnsi" w:cstheme="minorHAnsi"/>
        </w:rPr>
        <w:t xml:space="preserve"> but these don’t take users directly to the main benefit hub page:</w:t>
      </w:r>
    </w:p>
    <w:p w14:paraId="50353EB1" w14:textId="0DBE44E8" w:rsidR="002E6163" w:rsidRPr="00446D7F" w:rsidRDefault="00C56CDB" w:rsidP="00446D7F">
      <w:pPr>
        <w:spacing w:after="124" w:line="247" w:lineRule="auto"/>
        <w:ind w:left="-5" w:right="103" w:hanging="10"/>
        <w:rPr>
          <w:rFonts w:asciiTheme="minorHAnsi" w:eastAsia="Times New Roman" w:hAnsiTheme="minorHAnsi" w:cstheme="minorHAnsi"/>
        </w:rPr>
      </w:pPr>
      <w:r>
        <w:rPr>
          <w:noProof/>
        </w:rPr>
        <w:drawing>
          <wp:inline distT="0" distB="0" distL="0" distR="0" wp14:anchorId="5EBF78DA" wp14:editId="1D436A58">
            <wp:extent cx="5372100" cy="3703231"/>
            <wp:effectExtent l="19050" t="19050" r="190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7570" cy="3707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B9B7CBE" w14:textId="224D623B" w:rsidR="0004072D" w:rsidRDefault="00C56CDB" w:rsidP="002E6163">
      <w:pPr>
        <w:pStyle w:val="Heading1"/>
        <w:ind w:left="0" w:firstLine="0"/>
        <w:rPr>
          <w:rFonts w:cstheme="minorHAnsi"/>
        </w:rPr>
      </w:pPr>
      <w:bookmarkStart w:id="4" w:name="_Toc39043820"/>
      <w:r>
        <w:rPr>
          <w:rFonts w:cstheme="minorHAnsi"/>
        </w:rPr>
        <w:lastRenderedPageBreak/>
        <w:t>Benefit Hub</w:t>
      </w:r>
      <w:r w:rsidR="002E6163">
        <w:rPr>
          <w:rFonts w:cstheme="minorHAnsi"/>
        </w:rPr>
        <w:t xml:space="preserve"> Functionality</w:t>
      </w:r>
      <w:bookmarkEnd w:id="4"/>
    </w:p>
    <w:p w14:paraId="58A6DAFC" w14:textId="2E55BE94" w:rsidR="000E4B78" w:rsidRDefault="00C56CDB" w:rsidP="000E4B78">
      <w:r>
        <w:t xml:space="preserve">Benefit hubs are simply content pages that provide helpful information about the specific benefit. For the most part, benefit hubs are structured in a similar way to help make navigation simple no matter what benefit hub a veteran is using. </w:t>
      </w:r>
    </w:p>
    <w:p w14:paraId="32F2E4CA" w14:textId="15E9E151" w:rsidR="00C56CDB" w:rsidRDefault="00C56CDB" w:rsidP="000E4B78">
      <w:r>
        <w:t xml:space="preserve">Each benefit hub begins with a short overview of the benefit that outlines what types of actions they can do: </w:t>
      </w:r>
    </w:p>
    <w:p w14:paraId="4875904E" w14:textId="63E7FE21" w:rsidR="00C56CDB" w:rsidRDefault="00C56CDB" w:rsidP="000E4B78">
      <w:r>
        <w:rPr>
          <w:noProof/>
        </w:rPr>
        <w:drawing>
          <wp:inline distT="0" distB="0" distL="0" distR="0" wp14:anchorId="560D17E5" wp14:editId="276C501F">
            <wp:extent cx="6001385" cy="3438525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343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3A0B2" w14:textId="582AA695" w:rsidR="00C56CDB" w:rsidRDefault="00C56CDB" w:rsidP="000E4B78">
      <w:r>
        <w:t>Below that, there will be an “on this page” section that provides jump links to specific sections of the page. This let’s a user navigate directly to a section they are interested in without having to read the whole page:</w:t>
      </w:r>
    </w:p>
    <w:p w14:paraId="77457C90" w14:textId="1C0C7269" w:rsidR="00C56CDB" w:rsidRDefault="0015094A" w:rsidP="000E4B78">
      <w:r>
        <w:rPr>
          <w:noProof/>
        </w:rPr>
        <w:drawing>
          <wp:inline distT="0" distB="0" distL="0" distR="0" wp14:anchorId="20776175" wp14:editId="36D81E3A">
            <wp:extent cx="6001385" cy="1293495"/>
            <wp:effectExtent l="19050" t="19050" r="1841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293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8DE9BB" w14:textId="734C7EA0" w:rsidR="0015094A" w:rsidRDefault="0015094A" w:rsidP="000E4B78"/>
    <w:p w14:paraId="58A2BC34" w14:textId="487A8E8D" w:rsidR="0015094A" w:rsidRDefault="0015094A" w:rsidP="000E4B78">
      <w:r>
        <w:lastRenderedPageBreak/>
        <w:t xml:space="preserve">From there, the benefit hub page will provide more information about the different features, tools, or information that will help a veteran access that benefit: </w:t>
      </w:r>
    </w:p>
    <w:p w14:paraId="20BB8F44" w14:textId="74438647" w:rsidR="0015094A" w:rsidRDefault="0015094A" w:rsidP="000E4B78">
      <w:r>
        <w:rPr>
          <w:noProof/>
        </w:rPr>
        <w:drawing>
          <wp:inline distT="0" distB="0" distL="0" distR="0" wp14:anchorId="42EA7E27" wp14:editId="16180A0C">
            <wp:extent cx="4725116" cy="3695700"/>
            <wp:effectExtent l="19050" t="19050" r="1841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6226" cy="3704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17A33" w14:textId="77777777" w:rsidR="0015094A" w:rsidRDefault="0015094A" w:rsidP="000E4B78"/>
    <w:p w14:paraId="6C699148" w14:textId="08A11340" w:rsidR="0015094A" w:rsidRDefault="0015094A" w:rsidP="000E4B78">
      <w:r>
        <w:t>Next the benefit hub will list out information and links about how to manage this benefit:</w:t>
      </w:r>
    </w:p>
    <w:p w14:paraId="266C2E0E" w14:textId="0078E776" w:rsidR="0015094A" w:rsidRDefault="0015094A" w:rsidP="000E4B78">
      <w:r>
        <w:rPr>
          <w:noProof/>
        </w:rPr>
        <w:drawing>
          <wp:inline distT="0" distB="0" distL="0" distR="0" wp14:anchorId="1CC72F8F" wp14:editId="49669BEE">
            <wp:extent cx="5083024" cy="2266950"/>
            <wp:effectExtent l="19050" t="19050" r="2286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45132"/>
                    <a:stretch/>
                  </pic:blipFill>
                  <pic:spPr bwMode="auto">
                    <a:xfrm>
                      <a:off x="0" y="0"/>
                      <a:ext cx="5095907" cy="2272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43FDB" w14:textId="2F497636" w:rsidR="0015094A" w:rsidRDefault="0015094A" w:rsidP="000E4B78"/>
    <w:p w14:paraId="3048C6FE" w14:textId="12B509B1" w:rsidR="0015094A" w:rsidRDefault="0015094A" w:rsidP="000E4B78">
      <w:r>
        <w:lastRenderedPageBreak/>
        <w:t>Next there will be a more information and resources section:</w:t>
      </w:r>
    </w:p>
    <w:p w14:paraId="46417A22" w14:textId="4D8F6A9E" w:rsidR="0015094A" w:rsidRDefault="0015094A" w:rsidP="000E4B78">
      <w:r>
        <w:rPr>
          <w:noProof/>
        </w:rPr>
        <w:drawing>
          <wp:inline distT="0" distB="0" distL="0" distR="0" wp14:anchorId="06F0DE5F" wp14:editId="129086C8">
            <wp:extent cx="6001385" cy="2751455"/>
            <wp:effectExtent l="19050" t="19050" r="1841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751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F9FF93" w14:textId="0E40DDE7" w:rsidR="0015094A" w:rsidRDefault="0015094A" w:rsidP="000E4B78"/>
    <w:p w14:paraId="698D978B" w14:textId="2C260220" w:rsidR="0015094A" w:rsidRDefault="0015094A" w:rsidP="000E4B78">
      <w:r>
        <w:t>At the end there is a “other VA benefits and services” section with links to other benefit hubs:</w:t>
      </w:r>
    </w:p>
    <w:p w14:paraId="132818C3" w14:textId="523AD516" w:rsidR="0015094A" w:rsidRDefault="0015094A" w:rsidP="000E4B78">
      <w:r>
        <w:rPr>
          <w:noProof/>
        </w:rPr>
        <w:drawing>
          <wp:inline distT="0" distB="0" distL="0" distR="0" wp14:anchorId="5F10569E" wp14:editId="5C4B5CFA">
            <wp:extent cx="4089221" cy="3362325"/>
            <wp:effectExtent l="19050" t="19050" r="260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3784" cy="33660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0D86E8" w14:textId="765FED09" w:rsidR="0015094A" w:rsidRDefault="0015094A" w:rsidP="000E4B78"/>
    <w:p w14:paraId="591556F9" w14:textId="2D741D02" w:rsidR="0015094A" w:rsidRDefault="0015094A" w:rsidP="000E4B78">
      <w:r>
        <w:lastRenderedPageBreak/>
        <w:t xml:space="preserve">On the right-hand side of a benefit hub page, there is a “Ask questions” and “Connect with us” section. This provides phone numbers to contact centers that can </w:t>
      </w:r>
      <w:proofErr w:type="gramStart"/>
      <w:r>
        <w:t>provide assistance for</w:t>
      </w:r>
      <w:proofErr w:type="gramEnd"/>
      <w:r>
        <w:t xml:space="preserve"> this particular benefit as well as email newsletter and social media information.</w:t>
      </w:r>
    </w:p>
    <w:p w14:paraId="5A89A91F" w14:textId="37DAA8F6" w:rsidR="0015094A" w:rsidRDefault="0015094A" w:rsidP="000E4B78">
      <w:r>
        <w:rPr>
          <w:noProof/>
        </w:rPr>
        <w:drawing>
          <wp:inline distT="0" distB="0" distL="0" distR="0" wp14:anchorId="35AAB6B4" wp14:editId="17732838">
            <wp:extent cx="6001385" cy="4678680"/>
            <wp:effectExtent l="19050" t="19050" r="1841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4678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91AA88" w14:textId="5ECD5980" w:rsidR="0015094A" w:rsidRDefault="0015094A" w:rsidP="000E4B78">
      <w:r>
        <w:t xml:space="preserve">If a user selects any of the links provided on the benefit hub home page, they will be taken to a new page. This new page is still considered part of the benefit hub. You can tell which benefit hub a user is in by the navigation at the top of the page: </w:t>
      </w:r>
    </w:p>
    <w:p w14:paraId="06EF78C4" w14:textId="744B8A5B" w:rsidR="0015094A" w:rsidRDefault="0015094A" w:rsidP="000E4B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7BE5F" wp14:editId="65BF4B87">
                <wp:simplePos x="0" y="0"/>
                <wp:positionH relativeFrom="column">
                  <wp:posOffset>-76200</wp:posOffset>
                </wp:positionH>
                <wp:positionV relativeFrom="paragraph">
                  <wp:posOffset>-52705</wp:posOffset>
                </wp:positionV>
                <wp:extent cx="2333625" cy="3524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D006A2" id="Oval 14" o:spid="_x0000_s1026" style="position:absolute;margin-left:-6pt;margin-top:-4.15pt;width:183.7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726BF8" wp14:editId="3B03EFB5">
            <wp:extent cx="6001385" cy="3602990"/>
            <wp:effectExtent l="19050" t="19050" r="1841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3602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485029" w14:textId="2AAAED1B" w:rsidR="000E4B78" w:rsidRDefault="0015094A" w:rsidP="000E4B78">
      <w:r>
        <w:t>Topics with a lot of information, will also have a sidebar navigation that shows what other pages are under this topic. A user can navigate directly to pages using the sidebar links:</w:t>
      </w:r>
    </w:p>
    <w:p w14:paraId="7F61BB99" w14:textId="163F38CA" w:rsidR="000E4B78" w:rsidRPr="00446D7F" w:rsidRDefault="0015094A" w:rsidP="00446D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E3DE6" wp14:editId="67DB5E58">
                <wp:simplePos x="0" y="0"/>
                <wp:positionH relativeFrom="margin">
                  <wp:align>left</wp:align>
                </wp:positionH>
                <wp:positionV relativeFrom="paragraph">
                  <wp:posOffset>870585</wp:posOffset>
                </wp:positionV>
                <wp:extent cx="1333500" cy="2514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14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D42F1" id="Oval 26" o:spid="_x0000_s1026" style="position:absolute;margin-left:0;margin-top:68.55pt;width:105pt;height:19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1085E0A" wp14:editId="1B2A4819">
            <wp:extent cx="5441862" cy="3267075"/>
            <wp:effectExtent l="19050" t="19050" r="260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109" cy="32822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FB4DCB" w14:textId="310CEA93" w:rsidR="008C6C0B" w:rsidRDefault="00651068" w:rsidP="00BE109E">
      <w:pPr>
        <w:pStyle w:val="Heading1"/>
      </w:pPr>
      <w:bookmarkStart w:id="5" w:name="_Toc39043821"/>
      <w:r>
        <w:lastRenderedPageBreak/>
        <w:t>Issues or Error Messages:</w:t>
      </w:r>
      <w:bookmarkEnd w:id="5"/>
    </w:p>
    <w:p w14:paraId="07E4154E" w14:textId="09DB4AF2" w:rsidR="008C6C0B" w:rsidRDefault="00446D7F" w:rsidP="008C6C0B">
      <w:pPr>
        <w:pStyle w:val="Heading3"/>
      </w:pPr>
      <w:bookmarkStart w:id="6" w:name="_Toc39043822"/>
      <w:r>
        <w:t>Incorrect Information or Missing Content</w:t>
      </w:r>
      <w:bookmarkEnd w:id="6"/>
    </w:p>
    <w:p w14:paraId="3A55954E" w14:textId="6C12F47A" w:rsidR="00BE109E" w:rsidRDefault="00446D7F" w:rsidP="00BE109E">
      <w:r>
        <w:t xml:space="preserve">The biggest issue for benefit hubs is when a user thinks there is missing information, or the information provided is not accurate. This type of issue is automatically Tier 3 as it needs to be reviewed by the VA.gov public website team to determine if the feedback is correct. </w:t>
      </w:r>
    </w:p>
    <w:p w14:paraId="5107451F" w14:textId="77777777" w:rsidR="00446D7F" w:rsidRDefault="00446D7F" w:rsidP="00446D7F">
      <w:pPr>
        <w:pStyle w:val="Heading3"/>
      </w:pPr>
    </w:p>
    <w:p w14:paraId="5D783B0A" w14:textId="51C6C1D7" w:rsidR="00446D7F" w:rsidRDefault="00446D7F" w:rsidP="00446D7F">
      <w:pPr>
        <w:pStyle w:val="Heading3"/>
      </w:pPr>
      <w:bookmarkStart w:id="7" w:name="_Toc39043823"/>
      <w:r>
        <w:t>Broken Link</w:t>
      </w:r>
      <w:bookmarkEnd w:id="7"/>
    </w:p>
    <w:p w14:paraId="5BA22220" w14:textId="668D3212" w:rsidR="00446D7F" w:rsidRPr="00446D7F" w:rsidRDefault="00446D7F" w:rsidP="00446D7F">
      <w:r>
        <w:t xml:space="preserve">Sometimes a user discovers that one of links provided on a benefit hub page no longer works or it directs the user to the incorrect page. These are Tier 3 issues as they must be addressed by the VA.gov public website time who can fix the broken link or determine what page a user should be sent to. </w:t>
      </w:r>
    </w:p>
    <w:p w14:paraId="04198286" w14:textId="77777777" w:rsidR="00446D7F" w:rsidRDefault="00446D7F" w:rsidP="00446D7F">
      <w:pPr>
        <w:pStyle w:val="Heading3"/>
        <w:ind w:left="0" w:firstLine="0"/>
      </w:pPr>
    </w:p>
    <w:p w14:paraId="3EEDDBC1" w14:textId="2F2FA0AC" w:rsidR="00BE109E" w:rsidRDefault="00446D7F" w:rsidP="00446D7F">
      <w:pPr>
        <w:pStyle w:val="Heading3"/>
        <w:ind w:left="0" w:firstLine="0"/>
      </w:pPr>
      <w:bookmarkStart w:id="8" w:name="_Toc39043824"/>
      <w:r>
        <w:t>Benefit Hub Technical Issue</w:t>
      </w:r>
      <w:bookmarkEnd w:id="8"/>
    </w:p>
    <w:p w14:paraId="0B25A9C0" w14:textId="2F41E2D3" w:rsidR="00BE109E" w:rsidRDefault="00446D7F" w:rsidP="00446D7F">
      <w:r>
        <w:t xml:space="preserve">Because the benefit hubs are content pages with limited functionality, a user should not experience any specific technical issues on these pages. </w:t>
      </w:r>
    </w:p>
    <w:p w14:paraId="03DC8EDA" w14:textId="77777777" w:rsidR="0024288C" w:rsidRPr="008C6C0B" w:rsidRDefault="0024288C" w:rsidP="008C6C0B"/>
    <w:sectPr w:rsidR="0024288C" w:rsidRPr="008C6C0B" w:rsidSect="00A52E88">
      <w:type w:val="continuous"/>
      <w:pgSz w:w="12240" w:h="15840"/>
      <w:pgMar w:top="1448" w:right="1649" w:bottom="2064" w:left="1140" w:header="72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BD77A" w14:textId="77777777" w:rsidR="006E260B" w:rsidRDefault="006E260B">
      <w:pPr>
        <w:spacing w:after="0" w:line="240" w:lineRule="auto"/>
      </w:pPr>
      <w:r>
        <w:separator/>
      </w:r>
    </w:p>
  </w:endnote>
  <w:endnote w:type="continuationSeparator" w:id="0">
    <w:p w14:paraId="0FC2C861" w14:textId="77777777" w:rsidR="006E260B" w:rsidRDefault="006E2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9D0EE" w14:textId="77777777" w:rsidR="00EF68B6" w:rsidRDefault="00EF68B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01F20" w14:textId="77777777" w:rsidR="00EF68B6" w:rsidRDefault="00EF68B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709FD" w14:textId="77777777" w:rsidR="00EF68B6" w:rsidRDefault="00EF68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DB226" w14:textId="77777777" w:rsidR="006E260B" w:rsidRDefault="006E260B">
      <w:pPr>
        <w:spacing w:after="0" w:line="240" w:lineRule="auto"/>
      </w:pPr>
      <w:r>
        <w:separator/>
      </w:r>
    </w:p>
  </w:footnote>
  <w:footnote w:type="continuationSeparator" w:id="0">
    <w:p w14:paraId="1782C65A" w14:textId="77777777" w:rsidR="006E260B" w:rsidRDefault="006E2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7F2D"/>
    <w:multiLevelType w:val="hybridMultilevel"/>
    <w:tmpl w:val="5AAC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7974"/>
    <w:multiLevelType w:val="hybridMultilevel"/>
    <w:tmpl w:val="3B56D098"/>
    <w:lvl w:ilvl="0" w:tplc="030C6318">
      <w:start w:val="1"/>
      <w:numFmt w:val="bullet"/>
      <w:lvlText w:val="●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EA4D0">
      <w:start w:val="1"/>
      <w:numFmt w:val="bullet"/>
      <w:lvlText w:val="o"/>
      <w:lvlJc w:val="left"/>
      <w:pPr>
        <w:ind w:left="17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162004">
      <w:start w:val="1"/>
      <w:numFmt w:val="bullet"/>
      <w:lvlText w:val="▪"/>
      <w:lvlJc w:val="left"/>
      <w:pPr>
        <w:ind w:left="246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EC7DFC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2E366">
      <w:start w:val="1"/>
      <w:numFmt w:val="bullet"/>
      <w:lvlText w:val="o"/>
      <w:lvlJc w:val="left"/>
      <w:pPr>
        <w:ind w:left="390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4A1AE2">
      <w:start w:val="1"/>
      <w:numFmt w:val="bullet"/>
      <w:lvlText w:val="▪"/>
      <w:lvlJc w:val="left"/>
      <w:pPr>
        <w:ind w:left="462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7AB0BC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AE9C20">
      <w:start w:val="1"/>
      <w:numFmt w:val="bullet"/>
      <w:lvlText w:val="o"/>
      <w:lvlJc w:val="left"/>
      <w:pPr>
        <w:ind w:left="606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EC4B58">
      <w:start w:val="1"/>
      <w:numFmt w:val="bullet"/>
      <w:lvlText w:val="▪"/>
      <w:lvlJc w:val="left"/>
      <w:pPr>
        <w:ind w:left="67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62091E"/>
    <w:multiLevelType w:val="multilevel"/>
    <w:tmpl w:val="1090CC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24785902"/>
    <w:multiLevelType w:val="hybridMultilevel"/>
    <w:tmpl w:val="F7F415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6534D27"/>
    <w:multiLevelType w:val="hybridMultilevel"/>
    <w:tmpl w:val="352C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F1F15"/>
    <w:multiLevelType w:val="hybridMultilevel"/>
    <w:tmpl w:val="587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A1759"/>
    <w:multiLevelType w:val="hybridMultilevel"/>
    <w:tmpl w:val="AA3AF5B0"/>
    <w:lvl w:ilvl="0" w:tplc="2A1A8FE8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A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8C99C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A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DCC7F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A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436E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A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0DD0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A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676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A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3A0F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A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FC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A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696C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A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6E52B3"/>
    <w:multiLevelType w:val="hybridMultilevel"/>
    <w:tmpl w:val="EB66380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2D65245"/>
    <w:multiLevelType w:val="hybridMultilevel"/>
    <w:tmpl w:val="F4A6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34C60"/>
    <w:multiLevelType w:val="hybridMultilevel"/>
    <w:tmpl w:val="91C22406"/>
    <w:lvl w:ilvl="0" w:tplc="71D2DF8C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E65E7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368A7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A08A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18D7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0CEA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9A59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2299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B6DD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72D"/>
    <w:rsid w:val="0004072D"/>
    <w:rsid w:val="000526AF"/>
    <w:rsid w:val="00071E28"/>
    <w:rsid w:val="000C5540"/>
    <w:rsid w:val="000E4B78"/>
    <w:rsid w:val="000F3DF3"/>
    <w:rsid w:val="0010476A"/>
    <w:rsid w:val="0015094A"/>
    <w:rsid w:val="00164AA3"/>
    <w:rsid w:val="00176D50"/>
    <w:rsid w:val="00193CBC"/>
    <w:rsid w:val="001E5E5C"/>
    <w:rsid w:val="001F026F"/>
    <w:rsid w:val="00212345"/>
    <w:rsid w:val="0023674A"/>
    <w:rsid w:val="0024288C"/>
    <w:rsid w:val="00275D73"/>
    <w:rsid w:val="002A6346"/>
    <w:rsid w:val="002D6742"/>
    <w:rsid w:val="002E6163"/>
    <w:rsid w:val="002F1F3E"/>
    <w:rsid w:val="00382326"/>
    <w:rsid w:val="0039454A"/>
    <w:rsid w:val="003A4C3E"/>
    <w:rsid w:val="003B6F27"/>
    <w:rsid w:val="003C05B5"/>
    <w:rsid w:val="003E2507"/>
    <w:rsid w:val="003E5CEA"/>
    <w:rsid w:val="00407C51"/>
    <w:rsid w:val="00427E3E"/>
    <w:rsid w:val="00443ED9"/>
    <w:rsid w:val="00446D7F"/>
    <w:rsid w:val="004A1364"/>
    <w:rsid w:val="004A727C"/>
    <w:rsid w:val="004C50A5"/>
    <w:rsid w:val="00517099"/>
    <w:rsid w:val="005316C7"/>
    <w:rsid w:val="00531C65"/>
    <w:rsid w:val="0053445D"/>
    <w:rsid w:val="00535857"/>
    <w:rsid w:val="00550D70"/>
    <w:rsid w:val="005709C7"/>
    <w:rsid w:val="00573479"/>
    <w:rsid w:val="005E1BD5"/>
    <w:rsid w:val="00612BC2"/>
    <w:rsid w:val="00624EC1"/>
    <w:rsid w:val="00650541"/>
    <w:rsid w:val="00651068"/>
    <w:rsid w:val="00662B7C"/>
    <w:rsid w:val="006E260B"/>
    <w:rsid w:val="007065A5"/>
    <w:rsid w:val="0074623B"/>
    <w:rsid w:val="00753B45"/>
    <w:rsid w:val="00771661"/>
    <w:rsid w:val="007820B4"/>
    <w:rsid w:val="007978F8"/>
    <w:rsid w:val="007E255B"/>
    <w:rsid w:val="008220A7"/>
    <w:rsid w:val="008C6C0B"/>
    <w:rsid w:val="0093021C"/>
    <w:rsid w:val="00932302"/>
    <w:rsid w:val="009433DD"/>
    <w:rsid w:val="00967441"/>
    <w:rsid w:val="009A423F"/>
    <w:rsid w:val="009A5846"/>
    <w:rsid w:val="009B0FD8"/>
    <w:rsid w:val="009B5D0F"/>
    <w:rsid w:val="009C21E9"/>
    <w:rsid w:val="00A10244"/>
    <w:rsid w:val="00A16E23"/>
    <w:rsid w:val="00A25843"/>
    <w:rsid w:val="00A52E88"/>
    <w:rsid w:val="00A63056"/>
    <w:rsid w:val="00A77255"/>
    <w:rsid w:val="00A77ED1"/>
    <w:rsid w:val="00AD2D22"/>
    <w:rsid w:val="00AF113E"/>
    <w:rsid w:val="00AF74D3"/>
    <w:rsid w:val="00AF761A"/>
    <w:rsid w:val="00B56E37"/>
    <w:rsid w:val="00B965EB"/>
    <w:rsid w:val="00BB6745"/>
    <w:rsid w:val="00BC1EA3"/>
    <w:rsid w:val="00BE109E"/>
    <w:rsid w:val="00BF06A6"/>
    <w:rsid w:val="00C211CA"/>
    <w:rsid w:val="00C45AB4"/>
    <w:rsid w:val="00C530D4"/>
    <w:rsid w:val="00C56CDB"/>
    <w:rsid w:val="00C64A5F"/>
    <w:rsid w:val="00C825E6"/>
    <w:rsid w:val="00CA56C7"/>
    <w:rsid w:val="00CE197B"/>
    <w:rsid w:val="00CF7151"/>
    <w:rsid w:val="00D4640D"/>
    <w:rsid w:val="00D644B2"/>
    <w:rsid w:val="00D758AA"/>
    <w:rsid w:val="00D815AE"/>
    <w:rsid w:val="00D87118"/>
    <w:rsid w:val="00DA42D2"/>
    <w:rsid w:val="00DC31ED"/>
    <w:rsid w:val="00DF1E7E"/>
    <w:rsid w:val="00E24B56"/>
    <w:rsid w:val="00E320CF"/>
    <w:rsid w:val="00E54845"/>
    <w:rsid w:val="00E924F5"/>
    <w:rsid w:val="00EF68B6"/>
    <w:rsid w:val="00F31FC5"/>
    <w:rsid w:val="00F94155"/>
    <w:rsid w:val="00FA6A8F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05A8"/>
  <w15:docId w15:val="{D3100B4E-2B51-4453-9BDA-167834B5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3ED9"/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24B56"/>
    <w:pPr>
      <w:keepNext/>
      <w:keepLines/>
      <w:spacing w:after="0"/>
      <w:ind w:left="10" w:hanging="10"/>
      <w:outlineLvl w:val="0"/>
    </w:pPr>
    <w:rPr>
      <w:rFonts w:eastAsia="Times New Roman" w:cs="Times New Roman"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rsid w:val="00CE197B"/>
    <w:pPr>
      <w:keepNext/>
      <w:keepLines/>
      <w:spacing w:after="0"/>
      <w:ind w:left="10" w:hanging="10"/>
      <w:outlineLvl w:val="1"/>
    </w:pPr>
    <w:rPr>
      <w:rFonts w:eastAsia="Times New Roman" w:cs="Times New Roman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CE197B"/>
    <w:rPr>
      <w:rFonts w:eastAsia="Times New Roman" w:cs="Times New Roman"/>
      <w:color w:val="000000"/>
      <w:sz w:val="36"/>
    </w:rPr>
  </w:style>
  <w:style w:type="character" w:customStyle="1" w:styleId="Heading1Char">
    <w:name w:val="Heading 1 Char"/>
    <w:link w:val="Heading1"/>
    <w:uiPriority w:val="9"/>
    <w:rsid w:val="00E24B56"/>
    <w:rPr>
      <w:rFonts w:eastAsia="Times New Roman" w:cs="Times New Roman"/>
      <w:color w:val="000000"/>
      <w:sz w:val="52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D5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AF7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3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A1364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A1364"/>
    <w:pPr>
      <w:spacing w:after="100"/>
      <w:ind w:left="440"/>
    </w:pPr>
  </w:style>
  <w:style w:type="table" w:styleId="TableGrid0">
    <w:name w:val="Table Grid"/>
    <w:basedOn w:val="TableNormal"/>
    <w:uiPriority w:val="39"/>
    <w:rsid w:val="0019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62B7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E61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1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16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163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F94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va.gov/education/" TargetMode="External"/><Relationship Id="rId18" Type="http://schemas.openxmlformats.org/officeDocument/2006/relationships/hyperlink" Target="https://www.va.gov/life-insurance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va.gov/family-member-benefit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a.gov/disability/" TargetMode="External"/><Relationship Id="rId17" Type="http://schemas.openxmlformats.org/officeDocument/2006/relationships/hyperlink" Target="https://www.va.gov/burials-memorials/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va.gov/housing-assistance/" TargetMode="External"/><Relationship Id="rId20" Type="http://schemas.openxmlformats.org/officeDocument/2006/relationships/hyperlink" Target="https://www.va.gov/service-member-benefits/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a.gov/health-care/" TargetMode="Externa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va.gov/pension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footer" Target="footer3.xml"/><Relationship Id="rId19" Type="http://schemas.openxmlformats.org/officeDocument/2006/relationships/hyperlink" Target="https://www.va.gov/records/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va.gov/careers-employment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40511-D593-425F-9D3D-EA6CBF98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LantosSwett, Chante</dc:creator>
  <cp:keywords/>
  <cp:lastModifiedBy>LantosSwett, Chante</cp:lastModifiedBy>
  <cp:revision>3</cp:revision>
  <cp:lastPrinted>2020-04-29T13:12:00Z</cp:lastPrinted>
  <dcterms:created xsi:type="dcterms:W3CDTF">2020-04-29T12:41:00Z</dcterms:created>
  <dcterms:modified xsi:type="dcterms:W3CDTF">2020-04-29T13:12:00Z</dcterms:modified>
</cp:coreProperties>
</file>