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C720E" w:rsidRPr="004C720E" w:rsidRDefault="004C720E" w:rsidP="004C720E">
      <w:pPr>
        <w:spacing w:before="100" w:beforeAutospacing="1" w:after="100" w:afterAutospacing="1" w:line="240" w:lineRule="auto"/>
        <w:jc w:val="center"/>
        <w:rPr>
          <w:rFonts w:ascii="Times New Roman" w:eastAsia="Times New Roman" w:hAnsi="Times New Roman" w:cs="Times New Roman"/>
          <w:b/>
          <w:sz w:val="32"/>
          <w:szCs w:val="32"/>
        </w:rPr>
      </w:pPr>
      <w:r w:rsidRPr="00BC7F1B">
        <w:rPr>
          <w:rFonts w:ascii="Times New Roman" w:eastAsia="Times New Roman" w:hAnsi="Times New Roman" w:cs="Times New Roman"/>
          <w:b/>
          <w:bCs/>
          <w:sz w:val="32"/>
          <w:szCs w:val="32"/>
        </w:rPr>
        <w:t>Electric Vehicle (EV) Adoption Trends – Time-Series Forecasting</w:t>
      </w:r>
    </w:p>
    <w:p w:rsidR="004C720E" w:rsidRPr="004C720E" w:rsidRDefault="004C720E" w:rsidP="004C720E">
      <w:pPr>
        <w:spacing w:before="100" w:beforeAutospacing="1" w:after="100" w:afterAutospacing="1" w:line="240" w:lineRule="auto"/>
        <w:rPr>
          <w:rFonts w:ascii="Times New Roman" w:eastAsia="Times New Roman" w:hAnsi="Times New Roman" w:cs="Times New Roman"/>
          <w:sz w:val="24"/>
          <w:szCs w:val="24"/>
        </w:rPr>
      </w:pPr>
      <w:r w:rsidRPr="00BC7F1B">
        <w:rPr>
          <w:rFonts w:ascii="Times New Roman" w:eastAsia="Times New Roman" w:hAnsi="Times New Roman" w:cs="Times New Roman"/>
          <w:bCs/>
          <w:sz w:val="24"/>
          <w:szCs w:val="24"/>
        </w:rPr>
        <w:t>Dataset</w:t>
      </w:r>
      <w:r w:rsidRPr="004C720E">
        <w:rPr>
          <w:rFonts w:ascii="Times New Roman" w:eastAsia="Times New Roman" w:hAnsi="Times New Roman" w:cs="Times New Roman"/>
          <w:sz w:val="24"/>
          <w:szCs w:val="24"/>
        </w:rPr>
        <w:t>: EV Sales Dataset (</w:t>
      </w:r>
      <w:proofErr w:type="spellStart"/>
      <w:r w:rsidRPr="004C720E">
        <w:rPr>
          <w:rFonts w:ascii="Times New Roman" w:eastAsia="Times New Roman" w:hAnsi="Times New Roman" w:cs="Times New Roman"/>
          <w:sz w:val="24"/>
          <w:szCs w:val="24"/>
        </w:rPr>
        <w:t>Kaggle</w:t>
      </w:r>
      <w:proofErr w:type="spellEnd"/>
      <w:r w:rsidRPr="004C720E">
        <w:rPr>
          <w:rFonts w:ascii="Times New Roman" w:eastAsia="Times New Roman" w:hAnsi="Times New Roman" w:cs="Times New Roman"/>
          <w:sz w:val="24"/>
          <w:szCs w:val="24"/>
        </w:rPr>
        <w:t>)</w:t>
      </w:r>
    </w:p>
    <w:p w:rsidR="004C720E" w:rsidRPr="004C720E" w:rsidRDefault="004C720E" w:rsidP="004C720E">
      <w:pPr>
        <w:spacing w:before="100" w:beforeAutospacing="1" w:after="100" w:afterAutospacing="1" w:line="240" w:lineRule="auto"/>
        <w:rPr>
          <w:rFonts w:ascii="Times New Roman" w:eastAsia="Times New Roman" w:hAnsi="Times New Roman" w:cs="Times New Roman"/>
          <w:sz w:val="24"/>
          <w:szCs w:val="24"/>
        </w:rPr>
      </w:pPr>
      <w:r w:rsidRPr="00BC7F1B">
        <w:rPr>
          <w:rFonts w:ascii="Times New Roman" w:eastAsia="Times New Roman" w:hAnsi="Times New Roman" w:cs="Times New Roman"/>
          <w:b/>
          <w:bCs/>
          <w:sz w:val="24"/>
          <w:szCs w:val="24"/>
        </w:rPr>
        <w:t>Introduction</w:t>
      </w:r>
      <w:proofErr w:type="gramStart"/>
      <w:r w:rsidRPr="004C720E">
        <w:rPr>
          <w:rFonts w:ascii="Times New Roman" w:eastAsia="Times New Roman" w:hAnsi="Times New Roman" w:cs="Times New Roman"/>
          <w:b/>
          <w:sz w:val="24"/>
          <w:szCs w:val="24"/>
        </w:rPr>
        <w:t>:</w:t>
      </w:r>
      <w:proofErr w:type="gramEnd"/>
      <w:r w:rsidRPr="004C720E">
        <w:rPr>
          <w:rFonts w:ascii="Times New Roman" w:eastAsia="Times New Roman" w:hAnsi="Times New Roman" w:cs="Times New Roman"/>
          <w:sz w:val="24"/>
          <w:szCs w:val="24"/>
        </w:rPr>
        <w:br/>
        <w:t>Electric vehicle (EV) adoption is gaining momentum worldwide, driven by technological advances, environmental concerns, and supportive government policies. This project aims to forecast future EV sales and analyze the key drivers influencing adoption, such as policy incentives and fuel prices.</w:t>
      </w:r>
    </w:p>
    <w:p w:rsidR="004C720E" w:rsidRPr="004C720E" w:rsidRDefault="004C720E" w:rsidP="004C720E">
      <w:pPr>
        <w:spacing w:before="100" w:beforeAutospacing="1" w:after="100" w:afterAutospacing="1" w:line="240" w:lineRule="auto"/>
        <w:rPr>
          <w:rFonts w:ascii="Times New Roman" w:eastAsia="Times New Roman" w:hAnsi="Times New Roman" w:cs="Times New Roman"/>
          <w:sz w:val="24"/>
          <w:szCs w:val="24"/>
        </w:rPr>
      </w:pPr>
      <w:r w:rsidRPr="00BC7F1B">
        <w:rPr>
          <w:rFonts w:ascii="Times New Roman" w:eastAsia="Times New Roman" w:hAnsi="Times New Roman" w:cs="Times New Roman"/>
          <w:bCs/>
          <w:sz w:val="24"/>
          <w:szCs w:val="24"/>
        </w:rPr>
        <w:t>Key Questions</w:t>
      </w:r>
      <w:r w:rsidRPr="004C720E">
        <w:rPr>
          <w:rFonts w:ascii="Times New Roman" w:eastAsia="Times New Roman" w:hAnsi="Times New Roman" w:cs="Times New Roman"/>
          <w:sz w:val="24"/>
          <w:szCs w:val="24"/>
        </w:rPr>
        <w:t>:</w:t>
      </w:r>
    </w:p>
    <w:p w:rsidR="004C720E" w:rsidRPr="004C720E" w:rsidRDefault="004C720E" w:rsidP="004C720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C720E">
        <w:rPr>
          <w:rFonts w:ascii="Times New Roman" w:eastAsia="Times New Roman" w:hAnsi="Times New Roman" w:cs="Times New Roman"/>
          <w:sz w:val="24"/>
          <w:szCs w:val="24"/>
        </w:rPr>
        <w:t>Which countries are leading in EV adoption?</w:t>
      </w:r>
    </w:p>
    <w:p w:rsidR="004C720E" w:rsidRPr="004C720E" w:rsidRDefault="004C720E" w:rsidP="004C720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C720E">
        <w:rPr>
          <w:rFonts w:ascii="Times New Roman" w:eastAsia="Times New Roman" w:hAnsi="Times New Roman" w:cs="Times New Roman"/>
          <w:sz w:val="24"/>
          <w:szCs w:val="24"/>
        </w:rPr>
        <w:t>What impact do government incentives have on EV sales?</w:t>
      </w:r>
    </w:p>
    <w:p w:rsidR="004C720E" w:rsidRPr="004C720E" w:rsidRDefault="004C720E" w:rsidP="004C720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C720E">
        <w:rPr>
          <w:rFonts w:ascii="Times New Roman" w:eastAsia="Times New Roman" w:hAnsi="Times New Roman" w:cs="Times New Roman"/>
          <w:sz w:val="24"/>
          <w:szCs w:val="24"/>
        </w:rPr>
        <w:t>Can we accurately forecast EV sales through 2030 using historical data?</w:t>
      </w:r>
    </w:p>
    <w:p w:rsidR="004C720E" w:rsidRPr="004C720E" w:rsidRDefault="004C720E" w:rsidP="004C720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C720E">
        <w:rPr>
          <w:rFonts w:ascii="Times New Roman" w:eastAsia="Times New Roman" w:hAnsi="Times New Roman" w:cs="Times New Roman"/>
          <w:sz w:val="24"/>
          <w:szCs w:val="24"/>
        </w:rPr>
        <w:t>What methods make such forecasting possible?</w:t>
      </w:r>
    </w:p>
    <w:p w:rsidR="00D55330" w:rsidRPr="00BC7F1B" w:rsidRDefault="004C720E">
      <w:pPr>
        <w:rPr>
          <w:rFonts w:ascii="Times New Roman" w:hAnsi="Times New Roman" w:cs="Times New Roman"/>
          <w:sz w:val="32"/>
          <w:szCs w:val="32"/>
        </w:rPr>
      </w:pPr>
      <w:r w:rsidRPr="00BC7F1B">
        <w:rPr>
          <w:rFonts w:ascii="Times New Roman" w:hAnsi="Times New Roman" w:cs="Times New Roman"/>
          <w:sz w:val="32"/>
          <w:szCs w:val="32"/>
        </w:rPr>
        <w:t>VISUALIZATION</w:t>
      </w:r>
    </w:p>
    <w:p w:rsidR="005E6DA1" w:rsidRPr="00BC7F1B" w:rsidRDefault="004C720E" w:rsidP="005E6DA1">
      <w:pPr>
        <w:rPr>
          <w:rFonts w:ascii="Times New Roman" w:eastAsia="Times New Roman" w:hAnsi="Times New Roman" w:cs="Times New Roman"/>
          <w:sz w:val="24"/>
          <w:szCs w:val="24"/>
        </w:rPr>
      </w:pPr>
      <w:r w:rsidRPr="00BC7F1B">
        <w:rPr>
          <w:rFonts w:ascii="Times New Roman" w:hAnsi="Times New Roman" w:cs="Times New Roman"/>
          <w:noProof/>
        </w:rPr>
        <w:drawing>
          <wp:inline distT="0" distB="0" distL="0" distR="0">
            <wp:extent cx="4791710" cy="2889250"/>
            <wp:effectExtent l="1905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4791710" cy="2889250"/>
                    </a:xfrm>
                    <a:prstGeom prst="rect">
                      <a:avLst/>
                    </a:prstGeom>
                    <a:noFill/>
                    <a:ln w="9525">
                      <a:noFill/>
                      <a:miter lim="800000"/>
                      <a:headEnd/>
                      <a:tailEnd/>
                    </a:ln>
                  </pic:spPr>
                </pic:pic>
              </a:graphicData>
            </a:graphic>
          </wp:inline>
        </w:drawing>
      </w:r>
      <w:r w:rsidR="005E6DA1" w:rsidRPr="00BC7F1B">
        <w:rPr>
          <w:rFonts w:ascii="Times New Roman" w:eastAsia="Times New Roman" w:hAnsi="Times New Roman" w:cs="Times New Roman"/>
          <w:sz w:val="24"/>
          <w:szCs w:val="24"/>
        </w:rPr>
        <w:pict>
          <v:rect id="_x0000_i1025" style="width:0;height:1.5pt" o:hralign="center" o:hrstd="t" o:hr="t" fillcolor="#a0a0a0" stroked="f"/>
        </w:pict>
      </w:r>
    </w:p>
    <w:p w:rsidR="005E6DA1" w:rsidRPr="005E6DA1" w:rsidRDefault="005E6DA1" w:rsidP="005E6DA1">
      <w:pPr>
        <w:spacing w:before="100" w:beforeAutospacing="1" w:after="100" w:afterAutospacing="1" w:line="240" w:lineRule="auto"/>
        <w:outlineLvl w:val="2"/>
        <w:rPr>
          <w:rFonts w:ascii="Times New Roman" w:eastAsia="Times New Roman" w:hAnsi="Times New Roman" w:cs="Times New Roman"/>
          <w:bCs/>
          <w:sz w:val="27"/>
          <w:szCs w:val="27"/>
        </w:rPr>
      </w:pPr>
      <w:r w:rsidRPr="00BC7F1B">
        <w:rPr>
          <w:rFonts w:ascii="Times New Roman" w:eastAsia="Times New Roman" w:hAnsi="Times New Roman" w:cs="Times New Roman"/>
          <w:bCs/>
          <w:sz w:val="27"/>
          <w:szCs w:val="27"/>
        </w:rPr>
        <w:t>EV Sales Forecast Analysis – China</w:t>
      </w:r>
    </w:p>
    <w:p w:rsidR="005E6DA1" w:rsidRPr="005E6DA1" w:rsidRDefault="005E6DA1" w:rsidP="005E6DA1">
      <w:pPr>
        <w:spacing w:before="100" w:beforeAutospacing="1" w:after="100" w:afterAutospacing="1" w:line="240" w:lineRule="auto"/>
        <w:rPr>
          <w:rFonts w:ascii="Times New Roman" w:eastAsia="Times New Roman" w:hAnsi="Times New Roman" w:cs="Times New Roman"/>
          <w:sz w:val="24"/>
          <w:szCs w:val="24"/>
        </w:rPr>
      </w:pPr>
      <w:r w:rsidRPr="005E6DA1">
        <w:rPr>
          <w:rFonts w:ascii="Times New Roman" w:eastAsia="Times New Roman" w:hAnsi="Times New Roman" w:cs="Times New Roman"/>
          <w:sz w:val="24"/>
          <w:szCs w:val="24"/>
        </w:rPr>
        <w:t>The time-series forecast for EV sales in China illustrates a strong upward trend from 2010 through 2040, with sales projected to exceed 2 million units annually by 2040. The shaded blue area represents the forecast confidence interval, indicating a relatively high certainty in near-term predictions, widening toward the long-term due to increased uncertainty.</w:t>
      </w:r>
    </w:p>
    <w:p w:rsidR="005E6DA1" w:rsidRPr="005E6DA1" w:rsidRDefault="005E6DA1" w:rsidP="005E6DA1">
      <w:pPr>
        <w:spacing w:before="100" w:beforeAutospacing="1" w:after="100" w:afterAutospacing="1" w:line="240" w:lineRule="auto"/>
        <w:rPr>
          <w:rFonts w:ascii="Times New Roman" w:eastAsia="Times New Roman" w:hAnsi="Times New Roman" w:cs="Times New Roman"/>
          <w:sz w:val="24"/>
          <w:szCs w:val="24"/>
        </w:rPr>
      </w:pPr>
      <w:r w:rsidRPr="00BC7F1B">
        <w:rPr>
          <w:rFonts w:ascii="Times New Roman" w:eastAsia="Times New Roman" w:hAnsi="Times New Roman" w:cs="Times New Roman"/>
          <w:bCs/>
          <w:sz w:val="24"/>
          <w:szCs w:val="24"/>
        </w:rPr>
        <w:t>Key Observations</w:t>
      </w:r>
      <w:r w:rsidRPr="005E6DA1">
        <w:rPr>
          <w:rFonts w:ascii="Times New Roman" w:eastAsia="Times New Roman" w:hAnsi="Times New Roman" w:cs="Times New Roman"/>
          <w:sz w:val="24"/>
          <w:szCs w:val="24"/>
        </w:rPr>
        <w:t>:</w:t>
      </w:r>
    </w:p>
    <w:p w:rsidR="005E6DA1" w:rsidRPr="005E6DA1" w:rsidRDefault="005E6DA1" w:rsidP="005E6DA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C7F1B">
        <w:rPr>
          <w:rFonts w:ascii="Times New Roman" w:eastAsia="Times New Roman" w:hAnsi="Times New Roman" w:cs="Times New Roman"/>
          <w:bCs/>
          <w:sz w:val="24"/>
          <w:szCs w:val="24"/>
        </w:rPr>
        <w:lastRenderedPageBreak/>
        <w:t>Steady Growth</w:t>
      </w:r>
      <w:r w:rsidRPr="005E6DA1">
        <w:rPr>
          <w:rFonts w:ascii="Times New Roman" w:eastAsia="Times New Roman" w:hAnsi="Times New Roman" w:cs="Times New Roman"/>
          <w:sz w:val="24"/>
          <w:szCs w:val="24"/>
        </w:rPr>
        <w:t>: From 2015 onward, there's a consistent rise in sales, showing robust adoption.</w:t>
      </w:r>
    </w:p>
    <w:p w:rsidR="005E6DA1" w:rsidRPr="005E6DA1" w:rsidRDefault="005E6DA1" w:rsidP="005E6DA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C7F1B">
        <w:rPr>
          <w:rFonts w:ascii="Times New Roman" w:eastAsia="Times New Roman" w:hAnsi="Times New Roman" w:cs="Times New Roman"/>
          <w:bCs/>
          <w:sz w:val="24"/>
          <w:szCs w:val="24"/>
        </w:rPr>
        <w:t>Post-2020 Surge</w:t>
      </w:r>
      <w:r w:rsidRPr="005E6DA1">
        <w:rPr>
          <w:rFonts w:ascii="Times New Roman" w:eastAsia="Times New Roman" w:hAnsi="Times New Roman" w:cs="Times New Roman"/>
          <w:sz w:val="24"/>
          <w:szCs w:val="24"/>
        </w:rPr>
        <w:t>: A noticeable acceleration around 2021–2025 aligns with stronger government policies and growing EV infrastructure.</w:t>
      </w:r>
    </w:p>
    <w:p w:rsidR="005E6DA1" w:rsidRPr="005E6DA1" w:rsidRDefault="005E6DA1" w:rsidP="005E6DA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C7F1B">
        <w:rPr>
          <w:rFonts w:ascii="Times New Roman" w:eastAsia="Times New Roman" w:hAnsi="Times New Roman" w:cs="Times New Roman"/>
          <w:bCs/>
          <w:sz w:val="24"/>
          <w:szCs w:val="24"/>
        </w:rPr>
        <w:t>Confidence Band</w:t>
      </w:r>
      <w:r w:rsidRPr="005E6DA1">
        <w:rPr>
          <w:rFonts w:ascii="Times New Roman" w:eastAsia="Times New Roman" w:hAnsi="Times New Roman" w:cs="Times New Roman"/>
          <w:sz w:val="24"/>
          <w:szCs w:val="24"/>
        </w:rPr>
        <w:t>: The widening confidence interval after 2030 reflects forecasting uncertainty but still suggests an upward trajectory.</w:t>
      </w:r>
    </w:p>
    <w:p w:rsidR="005E6DA1" w:rsidRPr="005E6DA1" w:rsidRDefault="005E6DA1" w:rsidP="005E6DA1">
      <w:pPr>
        <w:spacing w:before="100" w:beforeAutospacing="1" w:after="100" w:afterAutospacing="1" w:line="240" w:lineRule="auto"/>
        <w:rPr>
          <w:rFonts w:ascii="Times New Roman" w:eastAsia="Times New Roman" w:hAnsi="Times New Roman" w:cs="Times New Roman"/>
          <w:sz w:val="24"/>
          <w:szCs w:val="24"/>
        </w:rPr>
      </w:pPr>
      <w:r w:rsidRPr="00BC7F1B">
        <w:rPr>
          <w:rFonts w:ascii="Times New Roman" w:eastAsia="Times New Roman" w:hAnsi="Times New Roman" w:cs="Times New Roman"/>
          <w:bCs/>
          <w:sz w:val="24"/>
          <w:szCs w:val="24"/>
        </w:rPr>
        <w:t>Relevance to Key Questions</w:t>
      </w:r>
      <w:r w:rsidRPr="005E6DA1">
        <w:rPr>
          <w:rFonts w:ascii="Times New Roman" w:eastAsia="Times New Roman" w:hAnsi="Times New Roman" w:cs="Times New Roman"/>
          <w:sz w:val="24"/>
          <w:szCs w:val="24"/>
        </w:rPr>
        <w:t>:</w:t>
      </w:r>
    </w:p>
    <w:p w:rsidR="005E6DA1" w:rsidRPr="005E6DA1" w:rsidRDefault="005E6DA1" w:rsidP="005E6DA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C7F1B">
        <w:rPr>
          <w:rFonts w:ascii="Times New Roman" w:eastAsia="Times New Roman" w:hAnsi="Times New Roman" w:cs="Times New Roman"/>
          <w:bCs/>
          <w:sz w:val="24"/>
          <w:szCs w:val="24"/>
        </w:rPr>
        <w:t>Q1 (Leading Countries)</w:t>
      </w:r>
      <w:r w:rsidRPr="005E6DA1">
        <w:rPr>
          <w:rFonts w:ascii="Times New Roman" w:eastAsia="Times New Roman" w:hAnsi="Times New Roman" w:cs="Times New Roman"/>
          <w:sz w:val="24"/>
          <w:szCs w:val="24"/>
        </w:rPr>
        <w:t>: This growth positions China as a clear leader in EV adoption.</w:t>
      </w:r>
    </w:p>
    <w:p w:rsidR="005E6DA1" w:rsidRPr="005E6DA1" w:rsidRDefault="005E6DA1" w:rsidP="005E6DA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C7F1B">
        <w:rPr>
          <w:rFonts w:ascii="Times New Roman" w:eastAsia="Times New Roman" w:hAnsi="Times New Roman" w:cs="Times New Roman"/>
          <w:bCs/>
          <w:sz w:val="24"/>
          <w:szCs w:val="24"/>
        </w:rPr>
        <w:t>Q3 &amp; Q4 (Forecasting to 2030)</w:t>
      </w:r>
      <w:r w:rsidRPr="005E6DA1">
        <w:rPr>
          <w:rFonts w:ascii="Times New Roman" w:eastAsia="Times New Roman" w:hAnsi="Times New Roman" w:cs="Times New Roman"/>
          <w:sz w:val="24"/>
          <w:szCs w:val="24"/>
        </w:rPr>
        <w:t>: The forecast to 2040 is based on historical data and trend modeling (likely Prophet), showing how time-series analysis can reasonably project future sales.</w:t>
      </w:r>
    </w:p>
    <w:p w:rsidR="00574419" w:rsidRPr="00BC7F1B" w:rsidRDefault="005E6DA1" w:rsidP="00574419">
      <w:pPr>
        <w:pStyle w:val="Heading3"/>
        <w:rPr>
          <w:b w:val="0"/>
          <w:sz w:val="24"/>
          <w:szCs w:val="24"/>
        </w:rPr>
      </w:pPr>
      <w:r w:rsidRPr="00BC7F1B">
        <w:rPr>
          <w:b w:val="0"/>
          <w:noProof/>
          <w:u w:val="single"/>
        </w:rPr>
        <w:drawing>
          <wp:inline distT="0" distB="0" distL="0" distR="0">
            <wp:extent cx="5503926" cy="3783668"/>
            <wp:effectExtent l="19050" t="0" r="1524"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
                    <a:srcRect/>
                    <a:stretch>
                      <a:fillRect/>
                    </a:stretch>
                  </pic:blipFill>
                  <pic:spPr bwMode="auto">
                    <a:xfrm>
                      <a:off x="0" y="0"/>
                      <a:ext cx="5501587" cy="3782060"/>
                    </a:xfrm>
                    <a:prstGeom prst="rect">
                      <a:avLst/>
                    </a:prstGeom>
                    <a:noFill/>
                    <a:ln w="9525">
                      <a:noFill/>
                      <a:miter lim="800000"/>
                      <a:headEnd/>
                      <a:tailEnd/>
                    </a:ln>
                  </pic:spPr>
                </pic:pic>
              </a:graphicData>
            </a:graphic>
          </wp:inline>
        </w:drawing>
      </w:r>
      <w:r w:rsidR="00574419" w:rsidRPr="00BC7F1B">
        <w:rPr>
          <w:rStyle w:val="Strong"/>
          <w:bCs/>
          <w:sz w:val="24"/>
          <w:szCs w:val="24"/>
        </w:rPr>
        <w:t>Decomposition Plots</w:t>
      </w:r>
    </w:p>
    <w:p w:rsidR="00574419" w:rsidRPr="00BC7F1B" w:rsidRDefault="00574419" w:rsidP="00574419">
      <w:pPr>
        <w:pStyle w:val="Heading4"/>
        <w:rPr>
          <w:rFonts w:ascii="Times New Roman" w:hAnsi="Times New Roman" w:cs="Times New Roman"/>
          <w:b w:val="0"/>
          <w:i w:val="0"/>
          <w:color w:val="auto"/>
          <w:sz w:val="24"/>
          <w:szCs w:val="24"/>
        </w:rPr>
      </w:pPr>
      <w:r w:rsidRPr="00BC7F1B">
        <w:rPr>
          <w:rFonts w:ascii="Times New Roman" w:hAnsi="Times New Roman" w:cs="Times New Roman"/>
          <w:b w:val="0"/>
          <w:i w:val="0"/>
          <w:color w:val="auto"/>
          <w:sz w:val="24"/>
          <w:szCs w:val="24"/>
        </w:rPr>
        <w:t xml:space="preserve">1. </w:t>
      </w:r>
      <w:r w:rsidRPr="00BC7F1B">
        <w:rPr>
          <w:rStyle w:val="Strong"/>
          <w:rFonts w:ascii="Times New Roman" w:hAnsi="Times New Roman" w:cs="Times New Roman"/>
          <w:bCs/>
          <w:i w:val="0"/>
          <w:color w:val="auto"/>
          <w:sz w:val="24"/>
          <w:szCs w:val="24"/>
        </w:rPr>
        <w:t>Trend Component (Top &amp; Third Plot)</w:t>
      </w:r>
    </w:p>
    <w:p w:rsidR="00574419" w:rsidRPr="00BC7F1B" w:rsidRDefault="00574419" w:rsidP="00574419">
      <w:pPr>
        <w:numPr>
          <w:ilvl w:val="0"/>
          <w:numId w:val="4"/>
        </w:numPr>
        <w:spacing w:before="100" w:beforeAutospacing="1" w:after="100" w:afterAutospacing="1" w:line="240" w:lineRule="auto"/>
        <w:rPr>
          <w:rFonts w:ascii="Times New Roman" w:hAnsi="Times New Roman" w:cs="Times New Roman"/>
          <w:sz w:val="24"/>
          <w:szCs w:val="24"/>
        </w:rPr>
      </w:pPr>
      <w:r w:rsidRPr="00BC7F1B">
        <w:rPr>
          <w:rStyle w:val="Strong"/>
          <w:rFonts w:ascii="Times New Roman" w:hAnsi="Times New Roman" w:cs="Times New Roman"/>
          <w:b w:val="0"/>
          <w:sz w:val="24"/>
          <w:szCs w:val="24"/>
        </w:rPr>
        <w:t>Steady Upward Trend</w:t>
      </w:r>
      <w:r w:rsidRPr="00BC7F1B">
        <w:rPr>
          <w:rFonts w:ascii="Times New Roman" w:hAnsi="Times New Roman" w:cs="Times New Roman"/>
          <w:sz w:val="24"/>
          <w:szCs w:val="24"/>
        </w:rPr>
        <w:t>: The trend line increases consistently over time, confirming long-term growth in EV sales.</w:t>
      </w:r>
    </w:p>
    <w:p w:rsidR="00574419" w:rsidRPr="00BC7F1B" w:rsidRDefault="00574419" w:rsidP="00574419">
      <w:pPr>
        <w:numPr>
          <w:ilvl w:val="0"/>
          <w:numId w:val="4"/>
        </w:numPr>
        <w:spacing w:before="100" w:beforeAutospacing="1" w:after="100" w:afterAutospacing="1" w:line="240" w:lineRule="auto"/>
        <w:rPr>
          <w:rFonts w:ascii="Times New Roman" w:hAnsi="Times New Roman" w:cs="Times New Roman"/>
          <w:sz w:val="24"/>
          <w:szCs w:val="24"/>
        </w:rPr>
      </w:pPr>
      <w:r w:rsidRPr="00BC7F1B">
        <w:rPr>
          <w:rStyle w:val="Strong"/>
          <w:rFonts w:ascii="Times New Roman" w:hAnsi="Times New Roman" w:cs="Times New Roman"/>
          <w:b w:val="0"/>
          <w:sz w:val="24"/>
          <w:szCs w:val="24"/>
        </w:rPr>
        <w:t>No Structural Breaks</w:t>
      </w:r>
      <w:r w:rsidRPr="00BC7F1B">
        <w:rPr>
          <w:rFonts w:ascii="Times New Roman" w:hAnsi="Times New Roman" w:cs="Times New Roman"/>
          <w:sz w:val="24"/>
          <w:szCs w:val="24"/>
        </w:rPr>
        <w:t>: There are no sudden drops or spikes, indicating a stable adoption path—likely influenced by sustained policy and technological progress.</w:t>
      </w:r>
    </w:p>
    <w:p w:rsidR="00574419" w:rsidRPr="00BC7F1B" w:rsidRDefault="00574419" w:rsidP="00574419">
      <w:pPr>
        <w:pStyle w:val="Heading4"/>
        <w:rPr>
          <w:rFonts w:ascii="Times New Roman" w:hAnsi="Times New Roman" w:cs="Times New Roman"/>
          <w:b w:val="0"/>
          <w:i w:val="0"/>
          <w:color w:val="auto"/>
          <w:sz w:val="24"/>
          <w:szCs w:val="24"/>
        </w:rPr>
      </w:pPr>
      <w:r w:rsidRPr="00BC7F1B">
        <w:rPr>
          <w:rFonts w:ascii="Times New Roman" w:hAnsi="Times New Roman" w:cs="Times New Roman"/>
          <w:b w:val="0"/>
          <w:i w:val="0"/>
          <w:color w:val="auto"/>
          <w:sz w:val="24"/>
          <w:szCs w:val="24"/>
        </w:rPr>
        <w:t xml:space="preserve">2. </w:t>
      </w:r>
      <w:r w:rsidRPr="00BC7F1B">
        <w:rPr>
          <w:rStyle w:val="Strong"/>
          <w:rFonts w:ascii="Times New Roman" w:hAnsi="Times New Roman" w:cs="Times New Roman"/>
          <w:bCs/>
          <w:i w:val="0"/>
          <w:color w:val="auto"/>
          <w:sz w:val="24"/>
          <w:szCs w:val="24"/>
        </w:rPr>
        <w:t>Yearly Seasonality (Second &amp; Fourth Plot)</w:t>
      </w:r>
    </w:p>
    <w:p w:rsidR="00574419" w:rsidRPr="00BC7F1B" w:rsidRDefault="00574419" w:rsidP="00574419">
      <w:pPr>
        <w:numPr>
          <w:ilvl w:val="0"/>
          <w:numId w:val="5"/>
        </w:numPr>
        <w:spacing w:before="100" w:beforeAutospacing="1" w:after="100" w:afterAutospacing="1" w:line="240" w:lineRule="auto"/>
        <w:rPr>
          <w:rFonts w:ascii="Times New Roman" w:hAnsi="Times New Roman" w:cs="Times New Roman"/>
          <w:sz w:val="24"/>
          <w:szCs w:val="24"/>
        </w:rPr>
      </w:pPr>
      <w:r w:rsidRPr="00BC7F1B">
        <w:rPr>
          <w:rStyle w:val="Strong"/>
          <w:rFonts w:ascii="Times New Roman" w:hAnsi="Times New Roman" w:cs="Times New Roman"/>
          <w:b w:val="0"/>
          <w:sz w:val="24"/>
          <w:szCs w:val="24"/>
        </w:rPr>
        <w:t>Recurring Peaks &amp; Troughs</w:t>
      </w:r>
      <w:r w:rsidRPr="00BC7F1B">
        <w:rPr>
          <w:rFonts w:ascii="Times New Roman" w:hAnsi="Times New Roman" w:cs="Times New Roman"/>
          <w:sz w:val="24"/>
          <w:szCs w:val="24"/>
        </w:rPr>
        <w:t>: Sales appear to fluctuate cyclically across the year.</w:t>
      </w:r>
    </w:p>
    <w:p w:rsidR="00574419" w:rsidRPr="00BC7F1B" w:rsidRDefault="00574419" w:rsidP="00574419">
      <w:pPr>
        <w:numPr>
          <w:ilvl w:val="0"/>
          <w:numId w:val="5"/>
        </w:numPr>
        <w:spacing w:before="100" w:beforeAutospacing="1" w:after="100" w:afterAutospacing="1" w:line="240" w:lineRule="auto"/>
        <w:rPr>
          <w:rFonts w:ascii="Times New Roman" w:hAnsi="Times New Roman" w:cs="Times New Roman"/>
          <w:sz w:val="24"/>
          <w:szCs w:val="24"/>
        </w:rPr>
      </w:pPr>
      <w:r w:rsidRPr="00BC7F1B">
        <w:rPr>
          <w:rStyle w:val="Strong"/>
          <w:rFonts w:ascii="Times New Roman" w:hAnsi="Times New Roman" w:cs="Times New Roman"/>
          <w:b w:val="0"/>
          <w:sz w:val="24"/>
          <w:szCs w:val="24"/>
        </w:rPr>
        <w:t>Peak Around Q4</w:t>
      </w:r>
      <w:r w:rsidRPr="00BC7F1B">
        <w:rPr>
          <w:rFonts w:ascii="Times New Roman" w:hAnsi="Times New Roman" w:cs="Times New Roman"/>
          <w:sz w:val="24"/>
          <w:szCs w:val="24"/>
        </w:rPr>
        <w:t xml:space="preserve">: Higher sales near the end of the year (likely around </w:t>
      </w:r>
      <w:r w:rsidRPr="00BC7F1B">
        <w:rPr>
          <w:rStyle w:val="Strong"/>
          <w:rFonts w:ascii="Times New Roman" w:hAnsi="Times New Roman" w:cs="Times New Roman"/>
          <w:b w:val="0"/>
          <w:sz w:val="24"/>
          <w:szCs w:val="24"/>
        </w:rPr>
        <w:t>November–December</w:t>
      </w:r>
      <w:r w:rsidRPr="00BC7F1B">
        <w:rPr>
          <w:rFonts w:ascii="Times New Roman" w:hAnsi="Times New Roman" w:cs="Times New Roman"/>
          <w:sz w:val="24"/>
          <w:szCs w:val="24"/>
        </w:rPr>
        <w:t>) suggest:</w:t>
      </w:r>
    </w:p>
    <w:p w:rsidR="00574419" w:rsidRPr="00BC7F1B" w:rsidRDefault="00574419" w:rsidP="00574419">
      <w:pPr>
        <w:numPr>
          <w:ilvl w:val="1"/>
          <w:numId w:val="5"/>
        </w:numPr>
        <w:spacing w:before="100" w:beforeAutospacing="1" w:after="100" w:afterAutospacing="1" w:line="240" w:lineRule="auto"/>
        <w:rPr>
          <w:rFonts w:ascii="Times New Roman" w:hAnsi="Times New Roman" w:cs="Times New Roman"/>
          <w:sz w:val="24"/>
          <w:szCs w:val="24"/>
        </w:rPr>
      </w:pPr>
      <w:r w:rsidRPr="00BC7F1B">
        <w:rPr>
          <w:rFonts w:ascii="Times New Roman" w:hAnsi="Times New Roman" w:cs="Times New Roman"/>
          <w:sz w:val="24"/>
          <w:szCs w:val="24"/>
        </w:rPr>
        <w:t>Year-end incentives or subsidies</w:t>
      </w:r>
    </w:p>
    <w:p w:rsidR="00574419" w:rsidRPr="00BC7F1B" w:rsidRDefault="00574419" w:rsidP="00574419">
      <w:pPr>
        <w:numPr>
          <w:ilvl w:val="1"/>
          <w:numId w:val="5"/>
        </w:numPr>
        <w:spacing w:before="100" w:beforeAutospacing="1" w:after="100" w:afterAutospacing="1" w:line="240" w:lineRule="auto"/>
        <w:rPr>
          <w:rFonts w:ascii="Times New Roman" w:hAnsi="Times New Roman" w:cs="Times New Roman"/>
          <w:sz w:val="24"/>
          <w:szCs w:val="24"/>
        </w:rPr>
      </w:pPr>
      <w:r w:rsidRPr="00BC7F1B">
        <w:rPr>
          <w:rFonts w:ascii="Times New Roman" w:hAnsi="Times New Roman" w:cs="Times New Roman"/>
          <w:sz w:val="24"/>
          <w:szCs w:val="24"/>
        </w:rPr>
        <w:t>Consumers making purchases before policy changes or tax resets</w:t>
      </w:r>
    </w:p>
    <w:p w:rsidR="00574419" w:rsidRPr="00BC7F1B" w:rsidRDefault="00574419" w:rsidP="00574419">
      <w:pPr>
        <w:numPr>
          <w:ilvl w:val="0"/>
          <w:numId w:val="5"/>
        </w:numPr>
        <w:spacing w:before="100" w:beforeAutospacing="1" w:after="100" w:afterAutospacing="1" w:line="240" w:lineRule="auto"/>
        <w:rPr>
          <w:rFonts w:ascii="Times New Roman" w:hAnsi="Times New Roman" w:cs="Times New Roman"/>
          <w:sz w:val="24"/>
          <w:szCs w:val="24"/>
        </w:rPr>
      </w:pPr>
      <w:r w:rsidRPr="00BC7F1B">
        <w:rPr>
          <w:rStyle w:val="Strong"/>
          <w:rFonts w:ascii="Times New Roman" w:hAnsi="Times New Roman" w:cs="Times New Roman"/>
          <w:b w:val="0"/>
          <w:sz w:val="24"/>
          <w:szCs w:val="24"/>
        </w:rPr>
        <w:t>Dips in Mid-Year</w:t>
      </w:r>
      <w:r w:rsidRPr="00BC7F1B">
        <w:rPr>
          <w:rFonts w:ascii="Times New Roman" w:hAnsi="Times New Roman" w:cs="Times New Roman"/>
          <w:sz w:val="24"/>
          <w:szCs w:val="24"/>
        </w:rPr>
        <w:t>: Lower sales may reflect seasonal market lulls (e.g., summer holidays or less promotional activity).</w:t>
      </w:r>
    </w:p>
    <w:p w:rsidR="00574419" w:rsidRPr="00BC7F1B" w:rsidRDefault="00574419" w:rsidP="00574419">
      <w:pPr>
        <w:spacing w:after="0"/>
        <w:rPr>
          <w:rFonts w:ascii="Times New Roman" w:hAnsi="Times New Roman" w:cs="Times New Roman"/>
          <w:sz w:val="24"/>
          <w:szCs w:val="24"/>
        </w:rPr>
      </w:pPr>
      <w:r w:rsidRPr="00BC7F1B">
        <w:rPr>
          <w:rFonts w:ascii="Times New Roman" w:hAnsi="Times New Roman" w:cs="Times New Roman"/>
          <w:sz w:val="24"/>
          <w:szCs w:val="24"/>
        </w:rPr>
        <w:pict>
          <v:rect id="_x0000_i1026" style="width:0;height:1.5pt" o:hralign="center" o:hrstd="t" o:hr="t" fillcolor="#a0a0a0" stroked="f"/>
        </w:pict>
      </w:r>
    </w:p>
    <w:p w:rsidR="00574419" w:rsidRPr="00BC7F1B" w:rsidRDefault="00574419" w:rsidP="00574419">
      <w:pPr>
        <w:pStyle w:val="Heading3"/>
        <w:rPr>
          <w:b w:val="0"/>
          <w:sz w:val="24"/>
          <w:szCs w:val="24"/>
        </w:rPr>
      </w:pPr>
      <w:r w:rsidRPr="00BC7F1B">
        <w:rPr>
          <w:b w:val="0"/>
          <w:sz w:val="24"/>
          <w:szCs w:val="24"/>
        </w:rPr>
        <w:t>💡 Interpretation</w:t>
      </w:r>
    </w:p>
    <w:p w:rsidR="00574419" w:rsidRPr="00BC7F1B" w:rsidRDefault="00574419" w:rsidP="00574419">
      <w:pPr>
        <w:numPr>
          <w:ilvl w:val="0"/>
          <w:numId w:val="6"/>
        </w:numPr>
        <w:spacing w:before="100" w:beforeAutospacing="1" w:after="100" w:afterAutospacing="1" w:line="240" w:lineRule="auto"/>
        <w:rPr>
          <w:rFonts w:ascii="Times New Roman" w:hAnsi="Times New Roman" w:cs="Times New Roman"/>
          <w:sz w:val="24"/>
          <w:szCs w:val="24"/>
        </w:rPr>
      </w:pPr>
      <w:r w:rsidRPr="00BC7F1B">
        <w:rPr>
          <w:rFonts w:ascii="Times New Roman" w:hAnsi="Times New Roman" w:cs="Times New Roman"/>
          <w:sz w:val="24"/>
          <w:szCs w:val="24"/>
        </w:rPr>
        <w:t xml:space="preserve">The </w:t>
      </w:r>
      <w:r w:rsidRPr="00BC7F1B">
        <w:rPr>
          <w:rStyle w:val="Strong"/>
          <w:rFonts w:ascii="Times New Roman" w:hAnsi="Times New Roman" w:cs="Times New Roman"/>
          <w:b w:val="0"/>
          <w:sz w:val="24"/>
          <w:szCs w:val="24"/>
        </w:rPr>
        <w:t>strong trend</w:t>
      </w:r>
      <w:r w:rsidRPr="00BC7F1B">
        <w:rPr>
          <w:rFonts w:ascii="Times New Roman" w:hAnsi="Times New Roman" w:cs="Times New Roman"/>
          <w:sz w:val="24"/>
          <w:szCs w:val="24"/>
        </w:rPr>
        <w:t xml:space="preserve"> supports long-term EV adoption forecasting (Q3 &amp; Q4 of your project).</w:t>
      </w:r>
    </w:p>
    <w:p w:rsidR="00574419" w:rsidRPr="00BC7F1B" w:rsidRDefault="00574419" w:rsidP="00574419">
      <w:pPr>
        <w:numPr>
          <w:ilvl w:val="0"/>
          <w:numId w:val="6"/>
        </w:numPr>
        <w:spacing w:before="100" w:beforeAutospacing="1" w:after="100" w:afterAutospacing="1" w:line="240" w:lineRule="auto"/>
        <w:rPr>
          <w:rFonts w:ascii="Times New Roman" w:hAnsi="Times New Roman" w:cs="Times New Roman"/>
          <w:sz w:val="24"/>
          <w:szCs w:val="24"/>
        </w:rPr>
      </w:pPr>
      <w:r w:rsidRPr="00BC7F1B">
        <w:rPr>
          <w:rFonts w:ascii="Times New Roman" w:hAnsi="Times New Roman" w:cs="Times New Roman"/>
          <w:sz w:val="24"/>
          <w:szCs w:val="24"/>
        </w:rPr>
        <w:t xml:space="preserve">The </w:t>
      </w:r>
      <w:r w:rsidRPr="00BC7F1B">
        <w:rPr>
          <w:rStyle w:val="Strong"/>
          <w:rFonts w:ascii="Times New Roman" w:hAnsi="Times New Roman" w:cs="Times New Roman"/>
          <w:b w:val="0"/>
          <w:sz w:val="24"/>
          <w:szCs w:val="24"/>
        </w:rPr>
        <w:t>clear seasonality</w:t>
      </w:r>
      <w:r w:rsidRPr="00BC7F1B">
        <w:rPr>
          <w:rFonts w:ascii="Times New Roman" w:hAnsi="Times New Roman" w:cs="Times New Roman"/>
          <w:sz w:val="24"/>
          <w:szCs w:val="24"/>
        </w:rPr>
        <w:t xml:space="preserve"> offers strategic value for:</w:t>
      </w:r>
    </w:p>
    <w:p w:rsidR="00574419" w:rsidRPr="00BC7F1B" w:rsidRDefault="00574419" w:rsidP="00574419">
      <w:pPr>
        <w:numPr>
          <w:ilvl w:val="1"/>
          <w:numId w:val="6"/>
        </w:numPr>
        <w:spacing w:before="100" w:beforeAutospacing="1" w:after="100" w:afterAutospacing="1" w:line="240" w:lineRule="auto"/>
        <w:rPr>
          <w:rFonts w:ascii="Times New Roman" w:hAnsi="Times New Roman" w:cs="Times New Roman"/>
          <w:sz w:val="24"/>
          <w:szCs w:val="24"/>
        </w:rPr>
      </w:pPr>
      <w:r w:rsidRPr="00BC7F1B">
        <w:rPr>
          <w:rStyle w:val="Strong"/>
          <w:rFonts w:ascii="Times New Roman" w:hAnsi="Times New Roman" w:cs="Times New Roman"/>
          <w:b w:val="0"/>
          <w:sz w:val="24"/>
          <w:szCs w:val="24"/>
        </w:rPr>
        <w:t>Policy timing</w:t>
      </w:r>
      <w:r w:rsidRPr="00BC7F1B">
        <w:rPr>
          <w:rFonts w:ascii="Times New Roman" w:hAnsi="Times New Roman" w:cs="Times New Roman"/>
          <w:sz w:val="24"/>
          <w:szCs w:val="24"/>
        </w:rPr>
        <w:t>: Aligning incentives with low-sales months</w:t>
      </w:r>
    </w:p>
    <w:p w:rsidR="00574419" w:rsidRPr="00BC7F1B" w:rsidRDefault="00574419" w:rsidP="00574419">
      <w:pPr>
        <w:numPr>
          <w:ilvl w:val="1"/>
          <w:numId w:val="6"/>
        </w:numPr>
        <w:spacing w:before="100" w:beforeAutospacing="1" w:after="100" w:afterAutospacing="1" w:line="240" w:lineRule="auto"/>
        <w:rPr>
          <w:rFonts w:ascii="Times New Roman" w:hAnsi="Times New Roman" w:cs="Times New Roman"/>
          <w:sz w:val="24"/>
          <w:szCs w:val="24"/>
        </w:rPr>
      </w:pPr>
      <w:r w:rsidRPr="00BC7F1B">
        <w:rPr>
          <w:rStyle w:val="Strong"/>
          <w:rFonts w:ascii="Times New Roman" w:hAnsi="Times New Roman" w:cs="Times New Roman"/>
          <w:b w:val="0"/>
          <w:sz w:val="24"/>
          <w:szCs w:val="24"/>
        </w:rPr>
        <w:t>Marketing campaigns</w:t>
      </w:r>
      <w:r w:rsidRPr="00BC7F1B">
        <w:rPr>
          <w:rFonts w:ascii="Times New Roman" w:hAnsi="Times New Roman" w:cs="Times New Roman"/>
          <w:sz w:val="24"/>
          <w:szCs w:val="24"/>
        </w:rPr>
        <w:t>: Capitalizing on high-sales periods</w:t>
      </w:r>
    </w:p>
    <w:p w:rsidR="00574419" w:rsidRPr="00BC7F1B" w:rsidRDefault="00574419" w:rsidP="00574419">
      <w:pPr>
        <w:pStyle w:val="Heading3"/>
        <w:rPr>
          <w:rStyle w:val="Strong"/>
          <w:bCs/>
        </w:rPr>
      </w:pPr>
      <w:r w:rsidRPr="00BC7F1B">
        <w:rPr>
          <w:b w:val="0"/>
          <w:noProof/>
          <w:sz w:val="24"/>
          <w:szCs w:val="24"/>
          <w:u w:val="single"/>
        </w:rPr>
        <w:drawing>
          <wp:inline distT="0" distB="0" distL="0" distR="0">
            <wp:extent cx="4754880" cy="2867660"/>
            <wp:effectExtent l="19050" t="0" r="762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7"/>
                    <a:srcRect/>
                    <a:stretch>
                      <a:fillRect/>
                    </a:stretch>
                  </pic:blipFill>
                  <pic:spPr bwMode="auto">
                    <a:xfrm>
                      <a:off x="0" y="0"/>
                      <a:ext cx="4754880" cy="2867660"/>
                    </a:xfrm>
                    <a:prstGeom prst="rect">
                      <a:avLst/>
                    </a:prstGeom>
                    <a:noFill/>
                    <a:ln w="9525">
                      <a:noFill/>
                      <a:miter lim="800000"/>
                      <a:headEnd/>
                      <a:tailEnd/>
                    </a:ln>
                  </pic:spPr>
                </pic:pic>
              </a:graphicData>
            </a:graphic>
          </wp:inline>
        </w:drawing>
      </w:r>
    </w:p>
    <w:p w:rsidR="00574419" w:rsidRPr="00BC7F1B" w:rsidRDefault="00574419" w:rsidP="00574419">
      <w:pPr>
        <w:pStyle w:val="Heading3"/>
        <w:rPr>
          <w:b w:val="0"/>
        </w:rPr>
      </w:pPr>
      <w:r w:rsidRPr="00BC7F1B">
        <w:rPr>
          <w:rStyle w:val="Strong"/>
          <w:bCs/>
        </w:rPr>
        <w:t>Insights</w:t>
      </w:r>
    </w:p>
    <w:p w:rsidR="00574419" w:rsidRPr="00BC7F1B" w:rsidRDefault="00574419" w:rsidP="00574419">
      <w:pPr>
        <w:pStyle w:val="Heading4"/>
        <w:rPr>
          <w:rFonts w:ascii="Times New Roman" w:hAnsi="Times New Roman" w:cs="Times New Roman"/>
          <w:b w:val="0"/>
          <w:i w:val="0"/>
          <w:color w:val="auto"/>
        </w:rPr>
      </w:pPr>
      <w:r w:rsidRPr="00BC7F1B">
        <w:rPr>
          <w:rFonts w:ascii="Cambria" w:hAnsi="Cambria" w:cs="Times New Roman"/>
          <w:b w:val="0"/>
          <w:i w:val="0"/>
          <w:color w:val="auto"/>
        </w:rPr>
        <w:t>📈</w:t>
      </w:r>
      <w:r w:rsidRPr="00BC7F1B">
        <w:rPr>
          <w:rFonts w:ascii="Times New Roman" w:hAnsi="Times New Roman" w:cs="Times New Roman"/>
          <w:b w:val="0"/>
          <w:i w:val="0"/>
          <w:color w:val="auto"/>
        </w:rPr>
        <w:t xml:space="preserve"> </w:t>
      </w:r>
      <w:r w:rsidRPr="00BC7F1B">
        <w:rPr>
          <w:rStyle w:val="Strong"/>
          <w:rFonts w:ascii="Times New Roman" w:hAnsi="Times New Roman" w:cs="Times New Roman"/>
          <w:bCs/>
          <w:i w:val="0"/>
          <w:color w:val="auto"/>
        </w:rPr>
        <w:t>Accelerated Growth</w:t>
      </w:r>
    </w:p>
    <w:p w:rsidR="00574419" w:rsidRPr="00BC7F1B" w:rsidRDefault="00574419" w:rsidP="00574419">
      <w:pPr>
        <w:numPr>
          <w:ilvl w:val="0"/>
          <w:numId w:val="7"/>
        </w:numPr>
        <w:spacing w:before="100" w:beforeAutospacing="1" w:after="100" w:afterAutospacing="1" w:line="240" w:lineRule="auto"/>
        <w:rPr>
          <w:rFonts w:ascii="Times New Roman" w:hAnsi="Times New Roman" w:cs="Times New Roman"/>
        </w:rPr>
      </w:pPr>
      <w:r w:rsidRPr="00BC7F1B">
        <w:rPr>
          <w:rFonts w:ascii="Times New Roman" w:hAnsi="Times New Roman" w:cs="Times New Roman"/>
        </w:rPr>
        <w:t xml:space="preserve">The forecast shows </w:t>
      </w:r>
      <w:r w:rsidRPr="00BC7F1B">
        <w:rPr>
          <w:rStyle w:val="Strong"/>
          <w:rFonts w:ascii="Times New Roman" w:hAnsi="Times New Roman" w:cs="Times New Roman"/>
          <w:b w:val="0"/>
        </w:rPr>
        <w:t>rapid exponential growth</w:t>
      </w:r>
      <w:r w:rsidRPr="00BC7F1B">
        <w:rPr>
          <w:rFonts w:ascii="Times New Roman" w:hAnsi="Times New Roman" w:cs="Times New Roman"/>
        </w:rPr>
        <w:t>, especially post-2020.</w:t>
      </w:r>
    </w:p>
    <w:p w:rsidR="00574419" w:rsidRPr="00BC7F1B" w:rsidRDefault="00574419" w:rsidP="00574419">
      <w:pPr>
        <w:numPr>
          <w:ilvl w:val="0"/>
          <w:numId w:val="7"/>
        </w:numPr>
        <w:spacing w:before="100" w:beforeAutospacing="1" w:after="100" w:afterAutospacing="1" w:line="240" w:lineRule="auto"/>
        <w:rPr>
          <w:rFonts w:ascii="Times New Roman" w:hAnsi="Times New Roman" w:cs="Times New Roman"/>
        </w:rPr>
      </w:pPr>
      <w:r w:rsidRPr="00BC7F1B">
        <w:rPr>
          <w:rFonts w:ascii="Times New Roman" w:hAnsi="Times New Roman" w:cs="Times New Roman"/>
        </w:rPr>
        <w:t xml:space="preserve">Sales are projected to </w:t>
      </w:r>
      <w:r w:rsidRPr="00BC7F1B">
        <w:rPr>
          <w:rStyle w:val="Strong"/>
          <w:rFonts w:ascii="Times New Roman" w:hAnsi="Times New Roman" w:cs="Times New Roman"/>
          <w:b w:val="0"/>
        </w:rPr>
        <w:t>exceed 4 million by 2030</w:t>
      </w:r>
      <w:r w:rsidRPr="00BC7F1B">
        <w:rPr>
          <w:rFonts w:ascii="Times New Roman" w:hAnsi="Times New Roman" w:cs="Times New Roman"/>
        </w:rPr>
        <w:t xml:space="preserve">, and reach </w:t>
      </w:r>
      <w:r w:rsidRPr="00BC7F1B">
        <w:rPr>
          <w:rStyle w:val="Strong"/>
          <w:rFonts w:ascii="Times New Roman" w:hAnsi="Times New Roman" w:cs="Times New Roman"/>
          <w:b w:val="0"/>
        </w:rPr>
        <w:t>~6 million by 2042</w:t>
      </w:r>
      <w:r w:rsidRPr="00BC7F1B">
        <w:rPr>
          <w:rFonts w:ascii="Times New Roman" w:hAnsi="Times New Roman" w:cs="Times New Roman"/>
        </w:rPr>
        <w:t>.</w:t>
      </w:r>
    </w:p>
    <w:p w:rsidR="00574419" w:rsidRPr="00BC7F1B" w:rsidRDefault="00574419" w:rsidP="00574419">
      <w:pPr>
        <w:numPr>
          <w:ilvl w:val="0"/>
          <w:numId w:val="7"/>
        </w:numPr>
        <w:spacing w:before="100" w:beforeAutospacing="1" w:after="100" w:afterAutospacing="1" w:line="240" w:lineRule="auto"/>
        <w:rPr>
          <w:rFonts w:ascii="Times New Roman" w:hAnsi="Times New Roman" w:cs="Times New Roman"/>
        </w:rPr>
      </w:pPr>
      <w:r w:rsidRPr="00BC7F1B">
        <w:rPr>
          <w:rFonts w:ascii="Times New Roman" w:hAnsi="Times New Roman" w:cs="Times New Roman"/>
        </w:rPr>
        <w:t>This may reflect updated assumptions (e.g., increased policy support, faster tech adoption).</w:t>
      </w:r>
    </w:p>
    <w:p w:rsidR="00574419" w:rsidRPr="00BC7F1B" w:rsidRDefault="00574419" w:rsidP="00574419">
      <w:pPr>
        <w:spacing w:before="100" w:beforeAutospacing="1" w:after="100" w:afterAutospacing="1" w:line="240" w:lineRule="auto"/>
        <w:ind w:left="720"/>
        <w:rPr>
          <w:rFonts w:ascii="Times New Roman" w:hAnsi="Times New Roman" w:cs="Times New Roman"/>
        </w:rPr>
      </w:pPr>
      <w:r w:rsidRPr="00BC7F1B">
        <w:rPr>
          <w:rFonts w:ascii="Cambria" w:hAnsi="Cambria" w:cs="Times New Roman"/>
        </w:rPr>
        <w:t>📊</w:t>
      </w:r>
      <w:r w:rsidRPr="00BC7F1B">
        <w:rPr>
          <w:rFonts w:ascii="Times New Roman" w:hAnsi="Times New Roman" w:cs="Times New Roman"/>
        </w:rPr>
        <w:t xml:space="preserve"> </w:t>
      </w:r>
      <w:r w:rsidRPr="00BC7F1B">
        <w:rPr>
          <w:rStyle w:val="Strong"/>
          <w:rFonts w:ascii="Times New Roman" w:hAnsi="Times New Roman" w:cs="Times New Roman"/>
          <w:b w:val="0"/>
        </w:rPr>
        <w:t>Wider Uncertainty After 2030</w:t>
      </w:r>
    </w:p>
    <w:p w:rsidR="00574419" w:rsidRPr="00BC7F1B" w:rsidRDefault="00574419" w:rsidP="00574419">
      <w:pPr>
        <w:numPr>
          <w:ilvl w:val="0"/>
          <w:numId w:val="8"/>
        </w:numPr>
        <w:spacing w:before="100" w:beforeAutospacing="1" w:after="100" w:afterAutospacing="1" w:line="240" w:lineRule="auto"/>
        <w:rPr>
          <w:rFonts w:ascii="Times New Roman" w:hAnsi="Times New Roman" w:cs="Times New Roman"/>
        </w:rPr>
      </w:pPr>
      <w:r w:rsidRPr="00BC7F1B">
        <w:rPr>
          <w:rFonts w:ascii="Times New Roman" w:hAnsi="Times New Roman" w:cs="Times New Roman"/>
        </w:rPr>
        <w:t xml:space="preserve">The shaded confidence interval expands significantly beyond 2030, indicating </w:t>
      </w:r>
      <w:r w:rsidRPr="00BC7F1B">
        <w:rPr>
          <w:rStyle w:val="Strong"/>
          <w:rFonts w:ascii="Times New Roman" w:hAnsi="Times New Roman" w:cs="Times New Roman"/>
          <w:b w:val="0"/>
        </w:rPr>
        <w:t>increased forecasting uncertainty</w:t>
      </w:r>
      <w:r w:rsidRPr="00BC7F1B">
        <w:rPr>
          <w:rFonts w:ascii="Times New Roman" w:hAnsi="Times New Roman" w:cs="Times New Roman"/>
        </w:rPr>
        <w:t>—a natural limitation of long-term time-series models.</w:t>
      </w:r>
    </w:p>
    <w:p w:rsidR="00574419" w:rsidRPr="00BC7F1B" w:rsidRDefault="00574419" w:rsidP="00574419">
      <w:pPr>
        <w:pStyle w:val="Heading4"/>
        <w:rPr>
          <w:rFonts w:ascii="Times New Roman" w:hAnsi="Times New Roman" w:cs="Times New Roman"/>
          <w:b w:val="0"/>
          <w:i w:val="0"/>
          <w:color w:val="auto"/>
        </w:rPr>
      </w:pPr>
      <w:r w:rsidRPr="00BC7F1B">
        <w:rPr>
          <w:rFonts w:ascii="Cambria" w:hAnsi="Cambria" w:cs="Times New Roman"/>
          <w:b w:val="0"/>
          <w:i w:val="0"/>
          <w:color w:val="auto"/>
        </w:rPr>
        <w:t>🧩</w:t>
      </w:r>
      <w:r w:rsidRPr="00BC7F1B">
        <w:rPr>
          <w:rFonts w:ascii="Times New Roman" w:hAnsi="Times New Roman" w:cs="Times New Roman"/>
          <w:b w:val="0"/>
          <w:i w:val="0"/>
          <w:color w:val="auto"/>
        </w:rPr>
        <w:t xml:space="preserve"> </w:t>
      </w:r>
      <w:r w:rsidRPr="00BC7F1B">
        <w:rPr>
          <w:rStyle w:val="Strong"/>
          <w:rFonts w:ascii="Times New Roman" w:hAnsi="Times New Roman" w:cs="Times New Roman"/>
          <w:bCs/>
          <w:i w:val="0"/>
          <w:color w:val="auto"/>
        </w:rPr>
        <w:t>Comparison to Prior Forecast</w:t>
      </w:r>
    </w:p>
    <w:p w:rsidR="00574419" w:rsidRPr="00BC7F1B" w:rsidRDefault="00574419" w:rsidP="00574419">
      <w:pPr>
        <w:numPr>
          <w:ilvl w:val="0"/>
          <w:numId w:val="9"/>
        </w:numPr>
        <w:spacing w:before="100" w:beforeAutospacing="1" w:after="100" w:afterAutospacing="1" w:line="240" w:lineRule="auto"/>
        <w:rPr>
          <w:rFonts w:ascii="Times New Roman" w:hAnsi="Times New Roman" w:cs="Times New Roman"/>
        </w:rPr>
      </w:pPr>
      <w:r w:rsidRPr="00BC7F1B">
        <w:rPr>
          <w:rFonts w:ascii="Times New Roman" w:hAnsi="Times New Roman" w:cs="Times New Roman"/>
        </w:rPr>
        <w:t xml:space="preserve">This chart likely uses </w:t>
      </w:r>
      <w:r w:rsidRPr="00BC7F1B">
        <w:rPr>
          <w:rStyle w:val="Strong"/>
          <w:rFonts w:ascii="Times New Roman" w:hAnsi="Times New Roman" w:cs="Times New Roman"/>
          <w:b w:val="0"/>
        </w:rPr>
        <w:t>a different scale or dataset</w:t>
      </w:r>
      <w:r w:rsidRPr="00BC7F1B">
        <w:rPr>
          <w:rFonts w:ascii="Times New Roman" w:hAnsi="Times New Roman" w:cs="Times New Roman"/>
        </w:rPr>
        <w:t xml:space="preserve"> (e.g., total units instead of a subset like a region or category).</w:t>
      </w:r>
    </w:p>
    <w:p w:rsidR="00574419" w:rsidRPr="00BC7F1B" w:rsidRDefault="00574419" w:rsidP="00574419">
      <w:pPr>
        <w:numPr>
          <w:ilvl w:val="0"/>
          <w:numId w:val="9"/>
        </w:numPr>
        <w:spacing w:before="100" w:beforeAutospacing="1" w:after="100" w:afterAutospacing="1" w:line="240" w:lineRule="auto"/>
        <w:rPr>
          <w:rFonts w:ascii="Times New Roman" w:hAnsi="Times New Roman" w:cs="Times New Roman"/>
        </w:rPr>
      </w:pPr>
      <w:r w:rsidRPr="00BC7F1B">
        <w:rPr>
          <w:rFonts w:ascii="Times New Roman" w:hAnsi="Times New Roman" w:cs="Times New Roman"/>
        </w:rPr>
        <w:t xml:space="preserve">It strengthens the case that China will </w:t>
      </w:r>
      <w:r w:rsidRPr="00BC7F1B">
        <w:rPr>
          <w:rStyle w:val="Strong"/>
          <w:rFonts w:ascii="Times New Roman" w:hAnsi="Times New Roman" w:cs="Times New Roman"/>
          <w:b w:val="0"/>
        </w:rPr>
        <w:t>dominate global EV adoption</w:t>
      </w:r>
      <w:r w:rsidRPr="00BC7F1B">
        <w:rPr>
          <w:rFonts w:ascii="Times New Roman" w:hAnsi="Times New Roman" w:cs="Times New Roman"/>
        </w:rPr>
        <w:t xml:space="preserve">, aligning with </w:t>
      </w:r>
      <w:r w:rsidRPr="00BC7F1B">
        <w:rPr>
          <w:rStyle w:val="Strong"/>
          <w:rFonts w:ascii="Times New Roman" w:hAnsi="Times New Roman" w:cs="Times New Roman"/>
          <w:b w:val="0"/>
        </w:rPr>
        <w:t>Key Question 1</w:t>
      </w:r>
      <w:r w:rsidRPr="00BC7F1B">
        <w:rPr>
          <w:rFonts w:ascii="Times New Roman" w:hAnsi="Times New Roman" w:cs="Times New Roman"/>
        </w:rPr>
        <w:t xml:space="preserve"> of your project.</w:t>
      </w:r>
    </w:p>
    <w:p w:rsidR="004C720E" w:rsidRPr="00BC7F1B" w:rsidRDefault="004C720E">
      <w:pPr>
        <w:rPr>
          <w:rFonts w:ascii="Times New Roman" w:hAnsi="Times New Roman" w:cs="Times New Roman"/>
          <w:sz w:val="24"/>
          <w:szCs w:val="24"/>
        </w:rPr>
      </w:pPr>
    </w:p>
    <w:p w:rsidR="003974D5" w:rsidRPr="00BC7F1B" w:rsidRDefault="003974D5">
      <w:pPr>
        <w:rPr>
          <w:rFonts w:ascii="Times New Roman" w:hAnsi="Times New Roman" w:cs="Times New Roman"/>
          <w:sz w:val="24"/>
          <w:szCs w:val="24"/>
        </w:rPr>
      </w:pPr>
      <w:r w:rsidRPr="00BC7F1B">
        <w:rPr>
          <w:rFonts w:ascii="Times New Roman" w:hAnsi="Times New Roman" w:cs="Times New Roman"/>
          <w:noProof/>
          <w:sz w:val="24"/>
          <w:szCs w:val="24"/>
        </w:rPr>
        <w:drawing>
          <wp:inline distT="0" distB="0" distL="0" distR="0">
            <wp:extent cx="5943600" cy="2955289"/>
            <wp:effectExtent l="1905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8"/>
                    <a:srcRect/>
                    <a:stretch>
                      <a:fillRect/>
                    </a:stretch>
                  </pic:blipFill>
                  <pic:spPr bwMode="auto">
                    <a:xfrm>
                      <a:off x="0" y="0"/>
                      <a:ext cx="5943600" cy="2955289"/>
                    </a:xfrm>
                    <a:prstGeom prst="rect">
                      <a:avLst/>
                    </a:prstGeom>
                    <a:noFill/>
                    <a:ln w="9525">
                      <a:noFill/>
                      <a:miter lim="800000"/>
                      <a:headEnd/>
                      <a:tailEnd/>
                    </a:ln>
                  </pic:spPr>
                </pic:pic>
              </a:graphicData>
            </a:graphic>
          </wp:inline>
        </w:drawing>
      </w:r>
    </w:p>
    <w:p w:rsidR="003974D5" w:rsidRPr="00BC7F1B" w:rsidRDefault="003974D5" w:rsidP="003974D5">
      <w:pPr>
        <w:pStyle w:val="Heading3"/>
        <w:rPr>
          <w:b w:val="0"/>
        </w:rPr>
      </w:pPr>
      <w:r w:rsidRPr="00BC7F1B">
        <w:rPr>
          <w:rStyle w:val="Strong"/>
          <w:bCs/>
        </w:rPr>
        <w:t>Government Incentives &amp; EV Sales Growth</w:t>
      </w:r>
    </w:p>
    <w:p w:rsidR="003974D5" w:rsidRPr="00BC7F1B" w:rsidRDefault="003974D5" w:rsidP="003974D5">
      <w:pPr>
        <w:spacing w:before="100" w:beforeAutospacing="1" w:after="100" w:afterAutospacing="1"/>
        <w:rPr>
          <w:rFonts w:ascii="Times New Roman" w:hAnsi="Times New Roman" w:cs="Times New Roman"/>
        </w:rPr>
      </w:pPr>
      <w:r w:rsidRPr="00BC7F1B">
        <w:rPr>
          <w:rFonts w:ascii="Times New Roman" w:hAnsi="Times New Roman" w:cs="Times New Roman"/>
        </w:rPr>
        <w:t xml:space="preserve">The line chart highlights how </w:t>
      </w:r>
      <w:r w:rsidRPr="00BC7F1B">
        <w:rPr>
          <w:rStyle w:val="Strong"/>
          <w:rFonts w:ascii="Times New Roman" w:hAnsi="Times New Roman" w:cs="Times New Roman"/>
          <w:b w:val="0"/>
        </w:rPr>
        <w:t>EV sales (in millions)</w:t>
      </w:r>
      <w:r w:rsidRPr="00BC7F1B">
        <w:rPr>
          <w:rFonts w:ascii="Times New Roman" w:hAnsi="Times New Roman" w:cs="Times New Roman"/>
        </w:rPr>
        <w:t xml:space="preserve"> have accelerated over time, closely aligned with key government policy actions:</w:t>
      </w:r>
    </w:p>
    <w:p w:rsidR="003974D5" w:rsidRPr="00BC7F1B" w:rsidRDefault="003974D5" w:rsidP="003974D5">
      <w:pPr>
        <w:pStyle w:val="Heading4"/>
        <w:rPr>
          <w:rFonts w:ascii="Times New Roman" w:hAnsi="Times New Roman" w:cs="Times New Roman"/>
          <w:b w:val="0"/>
          <w:i w:val="0"/>
          <w:color w:val="auto"/>
        </w:rPr>
      </w:pPr>
      <w:r w:rsidRPr="00BC7F1B">
        <w:rPr>
          <w:rFonts w:ascii="Cambria" w:hAnsi="Cambria" w:cs="Times New Roman"/>
          <w:b w:val="0"/>
          <w:i w:val="0"/>
          <w:color w:val="auto"/>
        </w:rPr>
        <w:t>🏁</w:t>
      </w:r>
      <w:r w:rsidRPr="00BC7F1B">
        <w:rPr>
          <w:rFonts w:ascii="Times New Roman" w:hAnsi="Times New Roman" w:cs="Times New Roman"/>
          <w:b w:val="0"/>
          <w:i w:val="0"/>
          <w:color w:val="auto"/>
        </w:rPr>
        <w:t xml:space="preserve"> Key Milestones:</w:t>
      </w:r>
    </w:p>
    <w:p w:rsidR="003974D5" w:rsidRPr="00BC7F1B" w:rsidRDefault="003974D5" w:rsidP="003974D5">
      <w:pPr>
        <w:numPr>
          <w:ilvl w:val="0"/>
          <w:numId w:val="10"/>
        </w:numPr>
        <w:spacing w:before="100" w:beforeAutospacing="1" w:after="100" w:afterAutospacing="1" w:line="240" w:lineRule="auto"/>
        <w:rPr>
          <w:rFonts w:ascii="Times New Roman" w:hAnsi="Times New Roman" w:cs="Times New Roman"/>
        </w:rPr>
      </w:pPr>
      <w:r w:rsidRPr="00BC7F1B">
        <w:rPr>
          <w:rStyle w:val="Strong"/>
          <w:rFonts w:ascii="Times New Roman" w:hAnsi="Times New Roman" w:cs="Times New Roman"/>
          <w:b w:val="0"/>
        </w:rPr>
        <w:t>2014 – First Major Subsidy</w:t>
      </w:r>
      <w:r w:rsidRPr="00BC7F1B">
        <w:rPr>
          <w:rFonts w:ascii="Times New Roman" w:hAnsi="Times New Roman" w:cs="Times New Roman"/>
        </w:rPr>
        <w:t>: Marks the start of a noticeable sales increase.</w:t>
      </w:r>
    </w:p>
    <w:p w:rsidR="003974D5" w:rsidRPr="00BC7F1B" w:rsidRDefault="003974D5" w:rsidP="003974D5">
      <w:pPr>
        <w:numPr>
          <w:ilvl w:val="0"/>
          <w:numId w:val="10"/>
        </w:numPr>
        <w:spacing w:before="100" w:beforeAutospacing="1" w:after="100" w:afterAutospacing="1" w:line="240" w:lineRule="auto"/>
        <w:rPr>
          <w:rFonts w:ascii="Times New Roman" w:hAnsi="Times New Roman" w:cs="Times New Roman"/>
        </w:rPr>
      </w:pPr>
      <w:r w:rsidRPr="00BC7F1B">
        <w:rPr>
          <w:rStyle w:val="Strong"/>
          <w:rFonts w:ascii="Times New Roman" w:hAnsi="Times New Roman" w:cs="Times New Roman"/>
          <w:b w:val="0"/>
        </w:rPr>
        <w:t>2017 – License Incentives Introduced</w:t>
      </w:r>
      <w:r w:rsidRPr="00BC7F1B">
        <w:rPr>
          <w:rFonts w:ascii="Times New Roman" w:hAnsi="Times New Roman" w:cs="Times New Roman"/>
        </w:rPr>
        <w:t>: Boosts urban adoption, reflected in sharper growth.</w:t>
      </w:r>
    </w:p>
    <w:p w:rsidR="003974D5" w:rsidRPr="00BC7F1B" w:rsidRDefault="003974D5" w:rsidP="003974D5">
      <w:pPr>
        <w:numPr>
          <w:ilvl w:val="0"/>
          <w:numId w:val="10"/>
        </w:numPr>
        <w:spacing w:before="100" w:beforeAutospacing="1" w:after="100" w:afterAutospacing="1" w:line="240" w:lineRule="auto"/>
        <w:rPr>
          <w:rFonts w:ascii="Times New Roman" w:hAnsi="Times New Roman" w:cs="Times New Roman"/>
        </w:rPr>
      </w:pPr>
      <w:r w:rsidRPr="00BC7F1B">
        <w:rPr>
          <w:rStyle w:val="Strong"/>
          <w:rFonts w:ascii="Times New Roman" w:hAnsi="Times New Roman" w:cs="Times New Roman"/>
          <w:b w:val="0"/>
        </w:rPr>
        <w:t>2020 – Charging Infrastructure Boost</w:t>
      </w:r>
      <w:r w:rsidRPr="00BC7F1B">
        <w:rPr>
          <w:rFonts w:ascii="Times New Roman" w:hAnsi="Times New Roman" w:cs="Times New Roman"/>
        </w:rPr>
        <w:t>: Reduces range anxiety, further improving consumer confidence.</w:t>
      </w:r>
    </w:p>
    <w:p w:rsidR="003974D5" w:rsidRPr="00BC7F1B" w:rsidRDefault="003974D5" w:rsidP="003974D5">
      <w:pPr>
        <w:numPr>
          <w:ilvl w:val="0"/>
          <w:numId w:val="10"/>
        </w:numPr>
        <w:spacing w:before="100" w:beforeAutospacing="1" w:after="100" w:afterAutospacing="1" w:line="240" w:lineRule="auto"/>
        <w:rPr>
          <w:rFonts w:ascii="Times New Roman" w:hAnsi="Times New Roman" w:cs="Times New Roman"/>
        </w:rPr>
      </w:pPr>
      <w:r w:rsidRPr="00BC7F1B">
        <w:rPr>
          <w:rStyle w:val="Strong"/>
          <w:rFonts w:ascii="Times New Roman" w:hAnsi="Times New Roman" w:cs="Times New Roman"/>
          <w:b w:val="0"/>
        </w:rPr>
        <w:t>2022 – Post-COVID Green Stimulus</w:t>
      </w:r>
      <w:r w:rsidRPr="00BC7F1B">
        <w:rPr>
          <w:rFonts w:ascii="Times New Roman" w:hAnsi="Times New Roman" w:cs="Times New Roman"/>
        </w:rPr>
        <w:t>: Accelerates recovery and drives a major demand spike.</w:t>
      </w:r>
    </w:p>
    <w:p w:rsidR="003974D5" w:rsidRPr="00BC7F1B" w:rsidRDefault="003974D5" w:rsidP="003974D5">
      <w:pPr>
        <w:numPr>
          <w:ilvl w:val="0"/>
          <w:numId w:val="10"/>
        </w:numPr>
        <w:spacing w:before="100" w:beforeAutospacing="1" w:after="100" w:afterAutospacing="1" w:line="240" w:lineRule="auto"/>
        <w:rPr>
          <w:rFonts w:ascii="Times New Roman" w:hAnsi="Times New Roman" w:cs="Times New Roman"/>
        </w:rPr>
      </w:pPr>
      <w:r w:rsidRPr="00BC7F1B">
        <w:rPr>
          <w:rStyle w:val="Strong"/>
          <w:rFonts w:ascii="Times New Roman" w:hAnsi="Times New Roman" w:cs="Times New Roman"/>
          <w:b w:val="0"/>
        </w:rPr>
        <w:t>2025 – ICE Ban Announced</w:t>
      </w:r>
      <w:r w:rsidRPr="00BC7F1B">
        <w:rPr>
          <w:rFonts w:ascii="Times New Roman" w:hAnsi="Times New Roman" w:cs="Times New Roman"/>
        </w:rPr>
        <w:t>: Pushes future-facing demand as consumers prepare for policy shifts.</w:t>
      </w:r>
    </w:p>
    <w:p w:rsidR="003974D5" w:rsidRPr="00BC7F1B" w:rsidRDefault="003974D5" w:rsidP="003974D5">
      <w:pPr>
        <w:pStyle w:val="Heading4"/>
        <w:rPr>
          <w:rFonts w:ascii="Times New Roman" w:hAnsi="Times New Roman" w:cs="Times New Roman"/>
          <w:b w:val="0"/>
          <w:i w:val="0"/>
          <w:color w:val="auto"/>
        </w:rPr>
      </w:pPr>
      <w:r w:rsidRPr="00BC7F1B">
        <w:rPr>
          <w:rFonts w:ascii="Cambria" w:hAnsi="Cambria" w:cs="Times New Roman"/>
          <w:b w:val="0"/>
          <w:i w:val="0"/>
          <w:color w:val="auto"/>
        </w:rPr>
        <w:t>📈</w:t>
      </w:r>
      <w:r w:rsidRPr="00BC7F1B">
        <w:rPr>
          <w:rFonts w:ascii="Times New Roman" w:hAnsi="Times New Roman" w:cs="Times New Roman"/>
          <w:b w:val="0"/>
          <w:i w:val="0"/>
          <w:color w:val="auto"/>
        </w:rPr>
        <w:t xml:space="preserve"> Overall Trend:</w:t>
      </w:r>
    </w:p>
    <w:p w:rsidR="003974D5" w:rsidRPr="00BC7F1B" w:rsidRDefault="003974D5" w:rsidP="003974D5">
      <w:pPr>
        <w:numPr>
          <w:ilvl w:val="0"/>
          <w:numId w:val="11"/>
        </w:numPr>
        <w:spacing w:before="100" w:beforeAutospacing="1" w:after="100" w:afterAutospacing="1" w:line="240" w:lineRule="auto"/>
        <w:rPr>
          <w:rFonts w:ascii="Times New Roman" w:hAnsi="Times New Roman" w:cs="Times New Roman"/>
        </w:rPr>
      </w:pPr>
      <w:r w:rsidRPr="00BC7F1B">
        <w:rPr>
          <w:rFonts w:ascii="Times New Roman" w:hAnsi="Times New Roman" w:cs="Times New Roman"/>
        </w:rPr>
        <w:t xml:space="preserve">The curve shows </w:t>
      </w:r>
      <w:r w:rsidRPr="00BC7F1B">
        <w:rPr>
          <w:rStyle w:val="Strong"/>
          <w:rFonts w:ascii="Times New Roman" w:hAnsi="Times New Roman" w:cs="Times New Roman"/>
          <w:b w:val="0"/>
        </w:rPr>
        <w:t>exponential growth</w:t>
      </w:r>
      <w:r w:rsidRPr="00BC7F1B">
        <w:rPr>
          <w:rFonts w:ascii="Times New Roman" w:hAnsi="Times New Roman" w:cs="Times New Roman"/>
        </w:rPr>
        <w:t xml:space="preserve">, underscoring that incentives not only initiate adoption but also </w:t>
      </w:r>
      <w:r w:rsidRPr="00BC7F1B">
        <w:rPr>
          <w:rStyle w:val="Strong"/>
          <w:rFonts w:ascii="Times New Roman" w:hAnsi="Times New Roman" w:cs="Times New Roman"/>
          <w:b w:val="0"/>
        </w:rPr>
        <w:t>sustain and amplify it</w:t>
      </w:r>
      <w:r w:rsidRPr="00BC7F1B">
        <w:rPr>
          <w:rFonts w:ascii="Times New Roman" w:hAnsi="Times New Roman" w:cs="Times New Roman"/>
        </w:rPr>
        <w:t>.</w:t>
      </w:r>
    </w:p>
    <w:p w:rsidR="003974D5" w:rsidRPr="00BC7F1B" w:rsidRDefault="003974D5" w:rsidP="003974D5">
      <w:pPr>
        <w:spacing w:after="0"/>
        <w:rPr>
          <w:rFonts w:ascii="Times New Roman" w:hAnsi="Times New Roman" w:cs="Times New Roman"/>
        </w:rPr>
      </w:pPr>
      <w:r w:rsidRPr="00BC7F1B">
        <w:rPr>
          <w:rFonts w:ascii="Times New Roman" w:hAnsi="Times New Roman" w:cs="Times New Roman"/>
        </w:rPr>
        <w:pict>
          <v:rect id="_x0000_i1027" style="width:0;height:1.5pt" o:hralign="center" o:hrstd="t" o:hr="t" fillcolor="#a0a0a0" stroked="f"/>
        </w:pict>
      </w:r>
    </w:p>
    <w:p w:rsidR="003974D5" w:rsidRPr="00BC7F1B" w:rsidRDefault="003974D5" w:rsidP="003974D5">
      <w:pPr>
        <w:spacing w:before="100" w:beforeAutospacing="1" w:after="100" w:afterAutospacing="1"/>
        <w:rPr>
          <w:rFonts w:ascii="Times New Roman" w:hAnsi="Times New Roman" w:cs="Times New Roman"/>
        </w:rPr>
      </w:pPr>
      <w:r w:rsidRPr="00BC7F1B">
        <w:rPr>
          <w:rFonts w:ascii="Times New Roman" w:hAnsi="Times New Roman" w:cs="Times New Roman"/>
        </w:rPr>
        <w:t xml:space="preserve">This chart strongly supports your answer to </w:t>
      </w:r>
      <w:r w:rsidRPr="00BC7F1B">
        <w:rPr>
          <w:rStyle w:val="Strong"/>
          <w:rFonts w:ascii="Times New Roman" w:hAnsi="Times New Roman" w:cs="Times New Roman"/>
          <w:b w:val="0"/>
        </w:rPr>
        <w:t>Q2</w:t>
      </w:r>
      <w:r w:rsidRPr="00BC7F1B">
        <w:rPr>
          <w:rFonts w:ascii="Times New Roman" w:hAnsi="Times New Roman" w:cs="Times New Roman"/>
        </w:rPr>
        <w:t xml:space="preserve"> and illustrates the </w:t>
      </w:r>
      <w:r w:rsidRPr="00BC7F1B">
        <w:rPr>
          <w:rStyle w:val="Strong"/>
          <w:rFonts w:ascii="Times New Roman" w:hAnsi="Times New Roman" w:cs="Times New Roman"/>
          <w:b w:val="0"/>
        </w:rPr>
        <w:t>causal relationship</w:t>
      </w:r>
      <w:r w:rsidRPr="00BC7F1B">
        <w:rPr>
          <w:rFonts w:ascii="Times New Roman" w:hAnsi="Times New Roman" w:cs="Times New Roman"/>
        </w:rPr>
        <w:t xml:space="preserve"> between policy and adoption trends.</w:t>
      </w:r>
    </w:p>
    <w:p w:rsidR="00BC7F1B" w:rsidRPr="00BC7F1B" w:rsidRDefault="00BC7F1B" w:rsidP="00BC7F1B">
      <w:pPr>
        <w:rPr>
          <w:rFonts w:ascii="Times New Roman" w:hAnsi="Times New Roman" w:cs="Times New Roman"/>
          <w:b/>
          <w:sz w:val="28"/>
          <w:szCs w:val="28"/>
        </w:rPr>
      </w:pPr>
      <w:r w:rsidRPr="00BC7F1B">
        <w:rPr>
          <w:rFonts w:ascii="Times New Roman" w:hAnsi="Times New Roman" w:cs="Times New Roman"/>
          <w:b/>
          <w:sz w:val="28"/>
          <w:szCs w:val="28"/>
        </w:rPr>
        <w:t>✅ Summary</w:t>
      </w:r>
    </w:p>
    <w:p w:rsidR="00BC7F1B" w:rsidRPr="00BC7F1B" w:rsidRDefault="00BC7F1B" w:rsidP="00BC7F1B">
      <w:pPr>
        <w:rPr>
          <w:rFonts w:ascii="Times New Roman" w:hAnsi="Times New Roman" w:cs="Times New Roman"/>
          <w:sz w:val="24"/>
          <w:szCs w:val="24"/>
        </w:rPr>
      </w:pPr>
      <w:r w:rsidRPr="00BC7F1B">
        <w:rPr>
          <w:rFonts w:ascii="Times New Roman" w:hAnsi="Times New Roman" w:cs="Times New Roman"/>
          <w:sz w:val="24"/>
          <w:szCs w:val="24"/>
        </w:rPr>
        <w:t>This project analyzed global electric vehicle (EV) adoption trends, with a focus on China, using historical sales data and time-series forecasting (Prophet). The objective was to predict future EV sales through 2030 and beyond, while examining the role of government incentives and fuel prices as key adoption drivers.</w:t>
      </w:r>
    </w:p>
    <w:p w:rsidR="00BC7F1B" w:rsidRPr="00BC7F1B" w:rsidRDefault="00BC7F1B" w:rsidP="00BC7F1B">
      <w:pPr>
        <w:rPr>
          <w:rFonts w:ascii="Times New Roman" w:hAnsi="Times New Roman" w:cs="Times New Roman"/>
          <w:sz w:val="24"/>
          <w:szCs w:val="24"/>
        </w:rPr>
      </w:pPr>
    </w:p>
    <w:p w:rsidR="00BC7F1B" w:rsidRPr="00BC7F1B" w:rsidRDefault="00BC7F1B" w:rsidP="00BC7F1B">
      <w:pPr>
        <w:rPr>
          <w:rFonts w:ascii="Times New Roman" w:hAnsi="Times New Roman" w:cs="Times New Roman"/>
          <w:sz w:val="24"/>
          <w:szCs w:val="24"/>
        </w:rPr>
      </w:pPr>
      <w:r>
        <w:rPr>
          <w:rFonts w:ascii="Times New Roman" w:hAnsi="Times New Roman" w:cs="Times New Roman"/>
          <w:sz w:val="24"/>
          <w:szCs w:val="24"/>
        </w:rPr>
        <w:t>Key findings include:</w:t>
      </w:r>
    </w:p>
    <w:p w:rsidR="00BC7F1B" w:rsidRPr="00BC7F1B" w:rsidRDefault="00BC7F1B" w:rsidP="00BC7F1B">
      <w:pPr>
        <w:rPr>
          <w:rFonts w:ascii="Times New Roman" w:hAnsi="Times New Roman" w:cs="Times New Roman"/>
          <w:sz w:val="24"/>
          <w:szCs w:val="24"/>
        </w:rPr>
      </w:pPr>
      <w:r>
        <w:rPr>
          <w:rFonts w:ascii="Times New Roman" w:hAnsi="Times New Roman" w:cs="Times New Roman"/>
          <w:sz w:val="24"/>
          <w:szCs w:val="24"/>
        </w:rPr>
        <w:t xml:space="preserve">1. </w:t>
      </w:r>
      <w:r w:rsidRPr="00BC7F1B">
        <w:rPr>
          <w:rFonts w:ascii="Times New Roman" w:hAnsi="Times New Roman" w:cs="Times New Roman"/>
          <w:sz w:val="24"/>
          <w:szCs w:val="24"/>
        </w:rPr>
        <w:t>China leads globally in EV sales, showing stron</w:t>
      </w:r>
      <w:r>
        <w:rPr>
          <w:rFonts w:ascii="Times New Roman" w:hAnsi="Times New Roman" w:cs="Times New Roman"/>
          <w:sz w:val="24"/>
          <w:szCs w:val="24"/>
        </w:rPr>
        <w:t>g and consistent upward trends.</w:t>
      </w:r>
    </w:p>
    <w:p w:rsidR="00BC7F1B" w:rsidRPr="00BC7F1B" w:rsidRDefault="00BC7F1B" w:rsidP="00BC7F1B">
      <w:pPr>
        <w:rPr>
          <w:rFonts w:ascii="Times New Roman" w:hAnsi="Times New Roman" w:cs="Times New Roman"/>
          <w:sz w:val="24"/>
          <w:szCs w:val="24"/>
        </w:rPr>
      </w:pPr>
      <w:r>
        <w:rPr>
          <w:rFonts w:ascii="Times New Roman" w:hAnsi="Times New Roman" w:cs="Times New Roman"/>
          <w:sz w:val="24"/>
          <w:szCs w:val="24"/>
        </w:rPr>
        <w:t xml:space="preserve">2. </w:t>
      </w:r>
      <w:r w:rsidRPr="00BC7F1B">
        <w:rPr>
          <w:rFonts w:ascii="Times New Roman" w:hAnsi="Times New Roman" w:cs="Times New Roman"/>
          <w:sz w:val="24"/>
          <w:szCs w:val="24"/>
        </w:rPr>
        <w:t>Government incentives (subsidies, infrastructure, policy mandates) have a direct and measurab</w:t>
      </w:r>
      <w:r>
        <w:rPr>
          <w:rFonts w:ascii="Times New Roman" w:hAnsi="Times New Roman" w:cs="Times New Roman"/>
          <w:sz w:val="24"/>
          <w:szCs w:val="24"/>
        </w:rPr>
        <w:t>le impact on boosting EV sales.</w:t>
      </w:r>
    </w:p>
    <w:p w:rsidR="00BC7F1B" w:rsidRPr="00BC7F1B" w:rsidRDefault="00BC7F1B" w:rsidP="00BC7F1B">
      <w:pPr>
        <w:rPr>
          <w:rFonts w:ascii="Times New Roman" w:hAnsi="Times New Roman" w:cs="Times New Roman"/>
          <w:sz w:val="24"/>
          <w:szCs w:val="24"/>
        </w:rPr>
      </w:pPr>
      <w:r>
        <w:rPr>
          <w:rFonts w:ascii="Times New Roman" w:hAnsi="Times New Roman" w:cs="Times New Roman"/>
          <w:sz w:val="24"/>
          <w:szCs w:val="24"/>
        </w:rPr>
        <w:t xml:space="preserve">3. </w:t>
      </w:r>
      <w:r w:rsidRPr="00BC7F1B">
        <w:rPr>
          <w:rFonts w:ascii="Times New Roman" w:hAnsi="Times New Roman" w:cs="Times New Roman"/>
          <w:sz w:val="24"/>
          <w:szCs w:val="24"/>
        </w:rPr>
        <w:t>Seasonality exists in EV sales, often peaking near year-end—likely due to financial incentives and policy deadlines.</w:t>
      </w:r>
    </w:p>
    <w:p w:rsidR="00BC7F1B" w:rsidRPr="00BC7F1B" w:rsidRDefault="00BC7F1B" w:rsidP="00BC7F1B">
      <w:pPr>
        <w:rPr>
          <w:rFonts w:ascii="Times New Roman" w:hAnsi="Times New Roman" w:cs="Times New Roman"/>
          <w:sz w:val="24"/>
          <w:szCs w:val="24"/>
        </w:rPr>
      </w:pPr>
      <w:r>
        <w:rPr>
          <w:rFonts w:ascii="Times New Roman" w:hAnsi="Times New Roman" w:cs="Times New Roman"/>
          <w:sz w:val="24"/>
          <w:szCs w:val="24"/>
        </w:rPr>
        <w:t xml:space="preserve">4. </w:t>
      </w:r>
      <w:proofErr w:type="spellStart"/>
      <w:r w:rsidRPr="00BC7F1B">
        <w:rPr>
          <w:rFonts w:ascii="Times New Roman" w:hAnsi="Times New Roman" w:cs="Times New Roman"/>
          <w:sz w:val="24"/>
          <w:szCs w:val="24"/>
        </w:rPr>
        <w:t>Prophet</w:t>
      </w:r>
      <w:proofErr w:type="spellEnd"/>
      <w:r w:rsidRPr="00BC7F1B">
        <w:rPr>
          <w:rFonts w:ascii="Times New Roman" w:hAnsi="Times New Roman" w:cs="Times New Roman"/>
          <w:sz w:val="24"/>
          <w:szCs w:val="24"/>
        </w:rPr>
        <w:t xml:space="preserve"> forecasts suggest that China’s EV sales could exceed 4–6 million units annually by 2030, continuing to rise sharply into the 2040s.</w:t>
      </w:r>
    </w:p>
    <w:p w:rsidR="00BC7F1B" w:rsidRPr="00BC7F1B" w:rsidRDefault="00BC7F1B" w:rsidP="00BC7F1B">
      <w:pPr>
        <w:rPr>
          <w:rFonts w:ascii="Times New Roman" w:hAnsi="Times New Roman" w:cs="Times New Roman"/>
          <w:sz w:val="24"/>
          <w:szCs w:val="24"/>
        </w:rPr>
      </w:pPr>
    </w:p>
    <w:p w:rsidR="00BC7F1B" w:rsidRPr="00BC7F1B" w:rsidRDefault="00BC7F1B" w:rsidP="00BC7F1B">
      <w:pPr>
        <w:rPr>
          <w:rFonts w:ascii="Times New Roman" w:hAnsi="Times New Roman" w:cs="Times New Roman"/>
          <w:b/>
          <w:sz w:val="24"/>
          <w:szCs w:val="24"/>
        </w:rPr>
      </w:pPr>
      <w:r w:rsidRPr="00BC7F1B">
        <w:rPr>
          <w:rFonts w:ascii="Times New Roman" w:hAnsi="Times New Roman" w:cs="Times New Roman"/>
          <w:b/>
          <w:sz w:val="24"/>
          <w:szCs w:val="24"/>
        </w:rPr>
        <w:t>🧩 Conclusion</w:t>
      </w:r>
    </w:p>
    <w:p w:rsidR="00BC7F1B" w:rsidRPr="00BC7F1B" w:rsidRDefault="00BC7F1B" w:rsidP="00BC7F1B">
      <w:pPr>
        <w:rPr>
          <w:rFonts w:ascii="Times New Roman" w:hAnsi="Times New Roman" w:cs="Times New Roman"/>
          <w:sz w:val="24"/>
          <w:szCs w:val="24"/>
        </w:rPr>
      </w:pPr>
      <w:r w:rsidRPr="00BC7F1B">
        <w:rPr>
          <w:rFonts w:ascii="Times New Roman" w:hAnsi="Times New Roman" w:cs="Times New Roman"/>
          <w:sz w:val="24"/>
          <w:szCs w:val="24"/>
        </w:rPr>
        <w:t>EV adoption is accelerating, and government action is the single most influential factor in sustaining this growth. Forecasting tools like Prophet demonstrate that with adequate historical data and policy context, we can confidently predict EV sales trajectories into the next decade. To meet climate goals and mobility transformation targets, governments should:</w:t>
      </w:r>
    </w:p>
    <w:p w:rsidR="00BC7F1B" w:rsidRPr="00BC7F1B" w:rsidRDefault="00BC7F1B" w:rsidP="00BC7F1B">
      <w:pPr>
        <w:rPr>
          <w:rFonts w:ascii="Times New Roman" w:hAnsi="Times New Roman" w:cs="Times New Roman"/>
          <w:sz w:val="24"/>
          <w:szCs w:val="24"/>
        </w:rPr>
      </w:pPr>
    </w:p>
    <w:p w:rsidR="00BC7F1B" w:rsidRPr="00BC7F1B" w:rsidRDefault="00BC7F1B" w:rsidP="00BC7F1B">
      <w:pPr>
        <w:rPr>
          <w:rFonts w:ascii="Times New Roman" w:hAnsi="Times New Roman" w:cs="Times New Roman"/>
          <w:sz w:val="24"/>
          <w:szCs w:val="24"/>
        </w:rPr>
      </w:pPr>
      <w:r w:rsidRPr="00BC7F1B">
        <w:rPr>
          <w:rFonts w:ascii="Times New Roman" w:hAnsi="Times New Roman" w:cs="Times New Roman"/>
          <w:sz w:val="24"/>
          <w:szCs w:val="24"/>
        </w:rPr>
        <w:t>Maintain or expand financial incentives.</w:t>
      </w:r>
    </w:p>
    <w:p w:rsidR="00BC7F1B" w:rsidRPr="00BC7F1B" w:rsidRDefault="00BC7F1B" w:rsidP="00BC7F1B">
      <w:pPr>
        <w:rPr>
          <w:rFonts w:ascii="Times New Roman" w:hAnsi="Times New Roman" w:cs="Times New Roman"/>
          <w:sz w:val="24"/>
          <w:szCs w:val="24"/>
        </w:rPr>
      </w:pPr>
    </w:p>
    <w:p w:rsidR="00BC7F1B" w:rsidRPr="00BC7F1B" w:rsidRDefault="00BC7F1B" w:rsidP="00BC7F1B">
      <w:pPr>
        <w:rPr>
          <w:rFonts w:ascii="Times New Roman" w:hAnsi="Times New Roman" w:cs="Times New Roman"/>
          <w:sz w:val="24"/>
          <w:szCs w:val="24"/>
        </w:rPr>
      </w:pPr>
      <w:r w:rsidRPr="00BC7F1B">
        <w:rPr>
          <w:rFonts w:ascii="Times New Roman" w:hAnsi="Times New Roman" w:cs="Times New Roman"/>
          <w:sz w:val="24"/>
          <w:szCs w:val="24"/>
        </w:rPr>
        <w:t>Invest in charging infrastructure.</w:t>
      </w:r>
    </w:p>
    <w:p w:rsidR="00BC7F1B" w:rsidRPr="00BC7F1B" w:rsidRDefault="00BC7F1B" w:rsidP="00BC7F1B">
      <w:pPr>
        <w:rPr>
          <w:rFonts w:ascii="Times New Roman" w:hAnsi="Times New Roman" w:cs="Times New Roman"/>
          <w:sz w:val="24"/>
          <w:szCs w:val="24"/>
        </w:rPr>
      </w:pPr>
    </w:p>
    <w:p w:rsidR="00BC7F1B" w:rsidRPr="00BC7F1B" w:rsidRDefault="00BC7F1B" w:rsidP="00BC7F1B">
      <w:pPr>
        <w:rPr>
          <w:rFonts w:ascii="Times New Roman" w:hAnsi="Times New Roman" w:cs="Times New Roman"/>
          <w:sz w:val="24"/>
          <w:szCs w:val="24"/>
        </w:rPr>
      </w:pPr>
      <w:r w:rsidRPr="00BC7F1B">
        <w:rPr>
          <w:rFonts w:ascii="Times New Roman" w:hAnsi="Times New Roman" w:cs="Times New Roman"/>
          <w:sz w:val="24"/>
          <w:szCs w:val="24"/>
        </w:rPr>
        <w:t>Announce clear ICE phase-out timelines to guide market expectations.</w:t>
      </w:r>
    </w:p>
    <w:p w:rsidR="00BC7F1B" w:rsidRPr="00BC7F1B" w:rsidRDefault="00BC7F1B" w:rsidP="00BC7F1B">
      <w:pPr>
        <w:rPr>
          <w:rFonts w:ascii="Times New Roman" w:hAnsi="Times New Roman" w:cs="Times New Roman"/>
          <w:sz w:val="24"/>
          <w:szCs w:val="24"/>
        </w:rPr>
      </w:pPr>
    </w:p>
    <w:p w:rsidR="003974D5" w:rsidRPr="00BC7F1B" w:rsidRDefault="00BC7F1B" w:rsidP="00BC7F1B">
      <w:pPr>
        <w:jc w:val="both"/>
        <w:rPr>
          <w:rFonts w:ascii="Times New Roman" w:hAnsi="Times New Roman" w:cs="Times New Roman"/>
          <w:sz w:val="24"/>
          <w:szCs w:val="24"/>
        </w:rPr>
      </w:pPr>
      <w:r w:rsidRPr="00BC7F1B">
        <w:rPr>
          <w:rFonts w:ascii="Times New Roman" w:hAnsi="Times New Roman" w:cs="Times New Roman"/>
          <w:sz w:val="24"/>
          <w:szCs w:val="24"/>
        </w:rPr>
        <w:t>China’s trajectory shows that strategic policy interventions can fast-track EV transitions, providing a model for other nations aiming to scale clean transportation.</w:t>
      </w:r>
    </w:p>
    <w:sectPr w:rsidR="003974D5" w:rsidRPr="00BC7F1B" w:rsidSect="00D5533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825DDB"/>
    <w:multiLevelType w:val="multilevel"/>
    <w:tmpl w:val="B2D2B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BE70B6"/>
    <w:multiLevelType w:val="multilevel"/>
    <w:tmpl w:val="8DC64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9824E0F"/>
    <w:multiLevelType w:val="multilevel"/>
    <w:tmpl w:val="CCD0C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BF0710A"/>
    <w:multiLevelType w:val="multilevel"/>
    <w:tmpl w:val="DE365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1805B81"/>
    <w:multiLevelType w:val="multilevel"/>
    <w:tmpl w:val="74D47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195179C"/>
    <w:multiLevelType w:val="multilevel"/>
    <w:tmpl w:val="FC9226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D5B5B8D"/>
    <w:multiLevelType w:val="multilevel"/>
    <w:tmpl w:val="E7622F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4963ED2"/>
    <w:multiLevelType w:val="multilevel"/>
    <w:tmpl w:val="60586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AC0178F"/>
    <w:multiLevelType w:val="multilevel"/>
    <w:tmpl w:val="E200D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9F33E05"/>
    <w:multiLevelType w:val="multilevel"/>
    <w:tmpl w:val="297CF3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ED919A6"/>
    <w:multiLevelType w:val="multilevel"/>
    <w:tmpl w:val="6936D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0"/>
  </w:num>
  <w:num w:numId="3">
    <w:abstractNumId w:val="7"/>
  </w:num>
  <w:num w:numId="4">
    <w:abstractNumId w:val="2"/>
  </w:num>
  <w:num w:numId="5">
    <w:abstractNumId w:val="5"/>
  </w:num>
  <w:num w:numId="6">
    <w:abstractNumId w:val="9"/>
  </w:num>
  <w:num w:numId="7">
    <w:abstractNumId w:val="3"/>
  </w:num>
  <w:num w:numId="8">
    <w:abstractNumId w:val="4"/>
  </w:num>
  <w:num w:numId="9">
    <w:abstractNumId w:val="0"/>
  </w:num>
  <w:num w:numId="10">
    <w:abstractNumId w:val="8"/>
  </w:num>
  <w:num w:numId="11">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savePreviewPicture/>
  <w:compat/>
  <w:rsids>
    <w:rsidRoot w:val="004C720E"/>
    <w:rsid w:val="003974D5"/>
    <w:rsid w:val="004C720E"/>
    <w:rsid w:val="00574419"/>
    <w:rsid w:val="005E6DA1"/>
    <w:rsid w:val="00BC7F1B"/>
    <w:rsid w:val="00D5533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5330"/>
  </w:style>
  <w:style w:type="paragraph" w:styleId="Heading3">
    <w:name w:val="heading 3"/>
    <w:basedOn w:val="Normal"/>
    <w:link w:val="Heading3Char"/>
    <w:uiPriority w:val="9"/>
    <w:qFormat/>
    <w:rsid w:val="005E6DA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57441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4C720E"/>
    <w:rPr>
      <w:b/>
      <w:bCs/>
    </w:rPr>
  </w:style>
  <w:style w:type="paragraph" w:styleId="BalloonText">
    <w:name w:val="Balloon Text"/>
    <w:basedOn w:val="Normal"/>
    <w:link w:val="BalloonTextChar"/>
    <w:uiPriority w:val="99"/>
    <w:semiHidden/>
    <w:unhideWhenUsed/>
    <w:rsid w:val="004C72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20E"/>
    <w:rPr>
      <w:rFonts w:ascii="Tahoma" w:hAnsi="Tahoma" w:cs="Tahoma"/>
      <w:sz w:val="16"/>
      <w:szCs w:val="16"/>
    </w:rPr>
  </w:style>
  <w:style w:type="character" w:customStyle="1" w:styleId="Heading3Char">
    <w:name w:val="Heading 3 Char"/>
    <w:basedOn w:val="DefaultParagraphFont"/>
    <w:link w:val="Heading3"/>
    <w:uiPriority w:val="9"/>
    <w:rsid w:val="005E6DA1"/>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semiHidden/>
    <w:rsid w:val="00574419"/>
    <w:rPr>
      <w:rFonts w:asciiTheme="majorHAnsi" w:eastAsiaTheme="majorEastAsia" w:hAnsiTheme="majorHAnsi" w:cstheme="majorBidi"/>
      <w:b/>
      <w:bCs/>
      <w:i/>
      <w:iCs/>
      <w:color w:val="4F81BD" w:themeColor="accent1"/>
    </w:rPr>
  </w:style>
</w:styles>
</file>

<file path=word/webSettings.xml><?xml version="1.0" encoding="utf-8"?>
<w:webSettings xmlns:r="http://schemas.openxmlformats.org/officeDocument/2006/relationships" xmlns:w="http://schemas.openxmlformats.org/wordprocessingml/2006/main">
  <w:divs>
    <w:div w:id="158159763">
      <w:bodyDiv w:val="1"/>
      <w:marLeft w:val="0"/>
      <w:marRight w:val="0"/>
      <w:marTop w:val="0"/>
      <w:marBottom w:val="0"/>
      <w:divBdr>
        <w:top w:val="none" w:sz="0" w:space="0" w:color="auto"/>
        <w:left w:val="none" w:sz="0" w:space="0" w:color="auto"/>
        <w:bottom w:val="none" w:sz="0" w:space="0" w:color="auto"/>
        <w:right w:val="none" w:sz="0" w:space="0" w:color="auto"/>
      </w:divBdr>
    </w:div>
    <w:div w:id="727069421">
      <w:bodyDiv w:val="1"/>
      <w:marLeft w:val="0"/>
      <w:marRight w:val="0"/>
      <w:marTop w:val="0"/>
      <w:marBottom w:val="0"/>
      <w:divBdr>
        <w:top w:val="none" w:sz="0" w:space="0" w:color="auto"/>
        <w:left w:val="none" w:sz="0" w:space="0" w:color="auto"/>
        <w:bottom w:val="none" w:sz="0" w:space="0" w:color="auto"/>
        <w:right w:val="none" w:sz="0" w:space="0" w:color="auto"/>
      </w:divBdr>
    </w:div>
    <w:div w:id="853107731">
      <w:bodyDiv w:val="1"/>
      <w:marLeft w:val="0"/>
      <w:marRight w:val="0"/>
      <w:marTop w:val="0"/>
      <w:marBottom w:val="0"/>
      <w:divBdr>
        <w:top w:val="none" w:sz="0" w:space="0" w:color="auto"/>
        <w:left w:val="none" w:sz="0" w:space="0" w:color="auto"/>
        <w:bottom w:val="none" w:sz="0" w:space="0" w:color="auto"/>
        <w:right w:val="none" w:sz="0" w:space="0" w:color="auto"/>
      </w:divBdr>
    </w:div>
    <w:div w:id="986282622">
      <w:bodyDiv w:val="1"/>
      <w:marLeft w:val="0"/>
      <w:marRight w:val="0"/>
      <w:marTop w:val="0"/>
      <w:marBottom w:val="0"/>
      <w:divBdr>
        <w:top w:val="none" w:sz="0" w:space="0" w:color="auto"/>
        <w:left w:val="none" w:sz="0" w:space="0" w:color="auto"/>
        <w:bottom w:val="none" w:sz="0" w:space="0" w:color="auto"/>
        <w:right w:val="none" w:sz="0" w:space="0" w:color="auto"/>
      </w:divBdr>
    </w:div>
    <w:div w:id="1561742781">
      <w:bodyDiv w:val="1"/>
      <w:marLeft w:val="0"/>
      <w:marRight w:val="0"/>
      <w:marTop w:val="0"/>
      <w:marBottom w:val="0"/>
      <w:divBdr>
        <w:top w:val="none" w:sz="0" w:space="0" w:color="auto"/>
        <w:left w:val="none" w:sz="0" w:space="0" w:color="auto"/>
        <w:bottom w:val="none" w:sz="0" w:space="0" w:color="auto"/>
        <w:right w:val="none" w:sz="0" w:space="0" w:color="auto"/>
      </w:divBdr>
    </w:div>
    <w:div w:id="1754470187">
      <w:bodyDiv w:val="1"/>
      <w:marLeft w:val="0"/>
      <w:marRight w:val="0"/>
      <w:marTop w:val="0"/>
      <w:marBottom w:val="0"/>
      <w:divBdr>
        <w:top w:val="none" w:sz="0" w:space="0" w:color="auto"/>
        <w:left w:val="none" w:sz="0" w:space="0" w:color="auto"/>
        <w:bottom w:val="none" w:sz="0" w:space="0" w:color="auto"/>
        <w:right w:val="none" w:sz="0" w:space="0" w:color="auto"/>
      </w:divBdr>
    </w:div>
    <w:div w:id="1936940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TotalTime>
  <Pages>6</Pages>
  <Words>885</Words>
  <Characters>5048</Characters>
  <Application>Microsoft Office Word</Application>
  <DocSecurity>0</DocSecurity>
  <Lines>42</Lines>
  <Paragraphs>11</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
      <vt:lpstr>        EV Sales Forecast Analysis – China</vt:lpstr>
      <vt:lpstr>        /Decomposition Plots</vt:lpstr>
      <vt:lpstr>        💡 Interpretation</vt:lpstr>
      <vt:lpstr>        /</vt:lpstr>
      <vt:lpstr>        Insights</vt:lpstr>
      <vt:lpstr>        Government Incentives &amp; EV Sales Growth</vt:lpstr>
    </vt:vector>
  </TitlesOfParts>
  <Company/>
  <LinksUpToDate>false</LinksUpToDate>
  <CharactersWithSpaces>5922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2025-05-05T16:52:00Z</dcterms:created>
  <dcterms:modified xsi:type="dcterms:W3CDTF">2025-05-05T17:50:00Z</dcterms:modified>
</cp:coreProperties>
</file>