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BF1" w:rsidRPr="00E10812" w:rsidRDefault="00A35BF1" w:rsidP="00A35BF1">
      <w:pPr>
        <w:jc w:val="center"/>
        <w:rPr>
          <w:rStyle w:val="Strong"/>
          <w:rFonts w:ascii="Times New Roman" w:hAnsi="Times New Roman" w:cs="Times New Roman"/>
          <w:sz w:val="36"/>
          <w:szCs w:val="36"/>
        </w:rPr>
      </w:pPr>
      <w:r w:rsidRPr="00E10812">
        <w:rPr>
          <w:rStyle w:val="Strong"/>
          <w:rFonts w:ascii="Times New Roman" w:hAnsi="Times New Roman" w:cs="Times New Roman"/>
          <w:sz w:val="36"/>
          <w:szCs w:val="36"/>
        </w:rPr>
        <w:t xml:space="preserve">FIFA 23 Player Performance </w:t>
      </w:r>
      <w:proofErr w:type="gramStart"/>
      <w:r w:rsidRPr="00E10812">
        <w:rPr>
          <w:rStyle w:val="Strong"/>
          <w:rFonts w:ascii="Times New Roman" w:hAnsi="Times New Roman" w:cs="Times New Roman"/>
          <w:sz w:val="36"/>
          <w:szCs w:val="36"/>
        </w:rPr>
        <w:t>Analysis</w:t>
      </w:r>
      <w:proofErr w:type="gramEnd"/>
    </w:p>
    <w:p w:rsidR="00A35BF1" w:rsidRPr="00E10812" w:rsidRDefault="00A35BF1" w:rsidP="00A35BF1">
      <w:pPr>
        <w:rPr>
          <w:rStyle w:val="Strong"/>
          <w:rFonts w:ascii="Times New Roman" w:hAnsi="Times New Roman" w:cs="Times New Roman"/>
          <w:sz w:val="24"/>
          <w:szCs w:val="24"/>
        </w:rPr>
      </w:pPr>
      <w:r w:rsidRPr="00E10812">
        <w:rPr>
          <w:rStyle w:val="Strong"/>
          <w:rFonts w:ascii="Times New Roman" w:hAnsi="Times New Roman" w:cs="Times New Roman"/>
          <w:sz w:val="24"/>
          <w:szCs w:val="24"/>
        </w:rPr>
        <w:t>Dataset: FIFA 23 Complete Player Dataset (</w:t>
      </w:r>
      <w:proofErr w:type="spellStart"/>
      <w:r w:rsidRPr="00E10812">
        <w:rPr>
          <w:rStyle w:val="Strong"/>
          <w:rFonts w:ascii="Times New Roman" w:hAnsi="Times New Roman" w:cs="Times New Roman"/>
          <w:sz w:val="24"/>
          <w:szCs w:val="24"/>
        </w:rPr>
        <w:t>Kaggle</w:t>
      </w:r>
      <w:proofErr w:type="spellEnd"/>
      <w:r w:rsidRPr="00E10812">
        <w:rPr>
          <w:rStyle w:val="Strong"/>
          <w:rFonts w:ascii="Times New Roman" w:hAnsi="Times New Roman" w:cs="Times New Roman"/>
          <w:sz w:val="24"/>
          <w:szCs w:val="24"/>
        </w:rPr>
        <w:t>)</w:t>
      </w:r>
    </w:p>
    <w:p w:rsidR="00D55330" w:rsidRPr="00E10812" w:rsidRDefault="00A35BF1" w:rsidP="00A35BF1">
      <w:pPr>
        <w:jc w:val="both"/>
        <w:rPr>
          <w:rFonts w:ascii="Times New Roman" w:hAnsi="Times New Roman" w:cs="Times New Roman"/>
          <w:sz w:val="24"/>
          <w:szCs w:val="24"/>
        </w:rPr>
      </w:pPr>
      <w:r w:rsidRPr="00E10812">
        <w:rPr>
          <w:rStyle w:val="Strong"/>
          <w:rFonts w:ascii="Times New Roman" w:hAnsi="Times New Roman" w:cs="Times New Roman"/>
          <w:sz w:val="24"/>
          <w:szCs w:val="24"/>
        </w:rPr>
        <w:t>Introduction</w:t>
      </w:r>
      <w:r w:rsidRPr="00E10812">
        <w:rPr>
          <w:rFonts w:ascii="Times New Roman" w:hAnsi="Times New Roman" w:cs="Times New Roman"/>
          <w:sz w:val="24"/>
          <w:szCs w:val="24"/>
        </w:rPr>
        <w:br/>
        <w:t>In the modern era of football, data analytics has become an essential tool for clubs seeking to gain a competitive edge in player scouting and performance evaluation. This project leverages the FIFA 23 Complete Player Dataset to conduct an in-depth analysis of player attributes, performance metrics, and market valuations. By exploring key factors such as player age, nationality, and individual skills (e.g., speed, shooting, passing), the goal is to identify what drives player market value and to uncover patterns that can inform strategic recruitment decisions.</w:t>
      </w:r>
    </w:p>
    <w:p w:rsidR="00A35BF1" w:rsidRPr="00E10812" w:rsidRDefault="00E0312D" w:rsidP="00A35BF1">
      <w:pPr>
        <w:jc w:val="both"/>
        <w:rPr>
          <w:rFonts w:ascii="Times New Roman" w:hAnsi="Times New Roman" w:cs="Times New Roman"/>
          <w:sz w:val="24"/>
          <w:szCs w:val="24"/>
        </w:rPr>
      </w:pPr>
      <w:r w:rsidRPr="00E10812">
        <w:rPr>
          <w:rFonts w:ascii="Times New Roman" w:hAnsi="Times New Roman" w:cs="Times New Roman"/>
          <w:sz w:val="24"/>
          <w:szCs w:val="24"/>
        </w:rPr>
        <w:t>VISUALIZATION</w:t>
      </w:r>
    </w:p>
    <w:p w:rsidR="00E0312D" w:rsidRPr="00E10812" w:rsidRDefault="00E0312D" w:rsidP="00A35BF1">
      <w:pPr>
        <w:jc w:val="both"/>
        <w:rPr>
          <w:rFonts w:ascii="Times New Roman" w:hAnsi="Times New Roman" w:cs="Times New Roman"/>
          <w:sz w:val="24"/>
          <w:szCs w:val="24"/>
        </w:rPr>
      </w:pPr>
      <w:r w:rsidRPr="00E10812">
        <w:rPr>
          <w:rFonts w:ascii="Times New Roman" w:hAnsi="Times New Roman" w:cs="Times New Roman"/>
          <w:noProof/>
          <w:sz w:val="24"/>
          <w:szCs w:val="24"/>
        </w:rPr>
        <w:drawing>
          <wp:inline distT="0" distB="0" distL="0" distR="0">
            <wp:extent cx="4418330" cy="3277235"/>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18330" cy="3277235"/>
                    </a:xfrm>
                    <a:prstGeom prst="rect">
                      <a:avLst/>
                    </a:prstGeom>
                    <a:noFill/>
                    <a:ln w="9525">
                      <a:noFill/>
                      <a:miter lim="800000"/>
                      <a:headEnd/>
                      <a:tailEnd/>
                    </a:ln>
                  </pic:spPr>
                </pic:pic>
              </a:graphicData>
            </a:graphic>
          </wp:inline>
        </w:drawing>
      </w:r>
    </w:p>
    <w:p w:rsidR="00E0312D" w:rsidRPr="00E10812" w:rsidRDefault="00E0312D" w:rsidP="00E0312D">
      <w:p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b/>
          <w:bCs/>
          <w:sz w:val="24"/>
          <w:szCs w:val="24"/>
        </w:rPr>
        <w:t>Player Market Value Distribution Analysis</w:t>
      </w:r>
      <w:r w:rsidRPr="00E10812">
        <w:rPr>
          <w:rFonts w:ascii="Times New Roman" w:eastAsia="Times New Roman" w:hAnsi="Times New Roman" w:cs="Times New Roman"/>
          <w:sz w:val="24"/>
          <w:szCs w:val="24"/>
        </w:rPr>
        <w:br/>
        <w:t xml:space="preserve">The distribution of player market values in the FIFA 23 dataset is highly </w:t>
      </w:r>
      <w:r w:rsidRPr="00E10812">
        <w:rPr>
          <w:rFonts w:ascii="Times New Roman" w:eastAsia="Times New Roman" w:hAnsi="Times New Roman" w:cs="Times New Roman"/>
          <w:b/>
          <w:bCs/>
          <w:sz w:val="24"/>
          <w:szCs w:val="24"/>
        </w:rPr>
        <w:t>right-skewed</w:t>
      </w:r>
      <w:r w:rsidRPr="00E10812">
        <w:rPr>
          <w:rFonts w:ascii="Times New Roman" w:eastAsia="Times New Roman" w:hAnsi="Times New Roman" w:cs="Times New Roman"/>
          <w:sz w:val="24"/>
          <w:szCs w:val="24"/>
        </w:rPr>
        <w:t xml:space="preserve">, indicating a large disparity in player valuations. The vast majority of players have relatively low market values, with the frequency sharply declining as value increases. Most players are valued under </w:t>
      </w:r>
      <w:r w:rsidRPr="00E10812">
        <w:rPr>
          <w:rFonts w:ascii="Times New Roman" w:eastAsia="Times New Roman" w:hAnsi="Times New Roman" w:cs="Times New Roman"/>
          <w:b/>
          <w:bCs/>
          <w:sz w:val="24"/>
          <w:szCs w:val="24"/>
        </w:rPr>
        <w:t>€10 million</w:t>
      </w:r>
      <w:r w:rsidRPr="00E10812">
        <w:rPr>
          <w:rFonts w:ascii="Times New Roman" w:eastAsia="Times New Roman" w:hAnsi="Times New Roman" w:cs="Times New Roman"/>
          <w:sz w:val="24"/>
          <w:szCs w:val="24"/>
        </w:rPr>
        <w:t xml:space="preserve">, while a very small number are valued at the higher end (approaching </w:t>
      </w:r>
      <w:r w:rsidRPr="00E10812">
        <w:rPr>
          <w:rFonts w:ascii="Times New Roman" w:eastAsia="Times New Roman" w:hAnsi="Times New Roman" w:cs="Times New Roman"/>
          <w:b/>
          <w:bCs/>
          <w:sz w:val="24"/>
          <w:szCs w:val="24"/>
        </w:rPr>
        <w:t>€200 million</w:t>
      </w:r>
      <w:r w:rsidRPr="00E10812">
        <w:rPr>
          <w:rFonts w:ascii="Times New Roman" w:eastAsia="Times New Roman" w:hAnsi="Times New Roman" w:cs="Times New Roman"/>
          <w:sz w:val="24"/>
          <w:szCs w:val="24"/>
        </w:rPr>
        <w:t>).</w:t>
      </w:r>
    </w:p>
    <w:p w:rsidR="00E0312D" w:rsidRPr="00E10812" w:rsidRDefault="00E0312D" w:rsidP="00E0312D">
      <w:p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This pattern highlights the </w:t>
      </w:r>
      <w:r w:rsidRPr="00E10812">
        <w:rPr>
          <w:rFonts w:ascii="Times New Roman" w:eastAsia="Times New Roman" w:hAnsi="Times New Roman" w:cs="Times New Roman"/>
          <w:b/>
          <w:bCs/>
          <w:sz w:val="24"/>
          <w:szCs w:val="24"/>
        </w:rPr>
        <w:t>Pareto principle</w:t>
      </w:r>
      <w:r w:rsidRPr="00E10812">
        <w:rPr>
          <w:rFonts w:ascii="Times New Roman" w:eastAsia="Times New Roman" w:hAnsi="Times New Roman" w:cs="Times New Roman"/>
          <w:sz w:val="24"/>
          <w:szCs w:val="24"/>
        </w:rPr>
        <w:t xml:space="preserve"> in player economics—where a small percentage of elite players (often the most marketable and high-performing) account for a disproportionately large share of total market value. Such a distribution reflects real-world dynamics in professional </w:t>
      </w:r>
      <w:r w:rsidRPr="00E10812">
        <w:rPr>
          <w:rFonts w:ascii="Times New Roman" w:eastAsia="Times New Roman" w:hAnsi="Times New Roman" w:cs="Times New Roman"/>
          <w:sz w:val="24"/>
          <w:szCs w:val="24"/>
        </w:rPr>
        <w:lastRenderedPageBreak/>
        <w:t>football, where top talents command premium fees, while the majority of players have more modest valuations.</w:t>
      </w:r>
    </w:p>
    <w:p w:rsidR="00E0312D" w:rsidRPr="00E10812" w:rsidRDefault="00E0312D" w:rsidP="00E0312D">
      <w:pPr>
        <w:spacing w:before="100" w:beforeAutospacing="1" w:after="100" w:afterAutospacing="1"/>
        <w:rPr>
          <w:rStyle w:val="Strong"/>
          <w:rFonts w:ascii="Times New Roman" w:hAnsi="Times New Roman" w:cs="Times New Roman"/>
          <w:sz w:val="24"/>
          <w:szCs w:val="24"/>
        </w:rPr>
      </w:pPr>
      <w:r w:rsidRPr="00E10812">
        <w:rPr>
          <w:rFonts w:ascii="Times New Roman" w:eastAsia="Times New Roman" w:hAnsi="Times New Roman" w:cs="Times New Roman"/>
          <w:noProof/>
          <w:sz w:val="24"/>
          <w:szCs w:val="24"/>
        </w:rPr>
        <w:drawing>
          <wp:inline distT="0" distB="0" distL="0" distR="0">
            <wp:extent cx="4220845" cy="324040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20845" cy="3240405"/>
                    </a:xfrm>
                    <a:prstGeom prst="rect">
                      <a:avLst/>
                    </a:prstGeom>
                    <a:noFill/>
                    <a:ln w="9525">
                      <a:noFill/>
                      <a:miter lim="800000"/>
                      <a:headEnd/>
                      <a:tailEnd/>
                    </a:ln>
                  </pic:spPr>
                </pic:pic>
              </a:graphicData>
            </a:graphic>
          </wp:inline>
        </w:drawing>
      </w:r>
      <w:r w:rsidRPr="00E10812">
        <w:rPr>
          <w:rStyle w:val="Strong"/>
          <w:rFonts w:ascii="Times New Roman" w:hAnsi="Times New Roman" w:cs="Times New Roman"/>
          <w:sz w:val="24"/>
          <w:szCs w:val="24"/>
        </w:rPr>
        <w:t xml:space="preserve"> </w:t>
      </w:r>
    </w:p>
    <w:p w:rsidR="00E0312D" w:rsidRPr="00E10812" w:rsidRDefault="00E0312D" w:rsidP="00E0312D">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b/>
          <w:bCs/>
          <w:sz w:val="24"/>
          <w:szCs w:val="24"/>
        </w:rPr>
        <w:t>Player Age Distribution Analysis</w:t>
      </w:r>
      <w:r w:rsidRPr="00E10812">
        <w:rPr>
          <w:rFonts w:ascii="Times New Roman" w:eastAsia="Times New Roman" w:hAnsi="Times New Roman" w:cs="Times New Roman"/>
          <w:sz w:val="24"/>
          <w:szCs w:val="24"/>
        </w:rPr>
        <w:br/>
        <w:t xml:space="preserve">The distribution of player ages in the FIFA 23 dataset exhibits a right-skewed pattern, with the majority of players falling between the ages of </w:t>
      </w:r>
      <w:r w:rsidRPr="00E10812">
        <w:rPr>
          <w:rFonts w:ascii="Times New Roman" w:eastAsia="Times New Roman" w:hAnsi="Times New Roman" w:cs="Times New Roman"/>
          <w:b/>
          <w:bCs/>
          <w:sz w:val="24"/>
          <w:szCs w:val="24"/>
        </w:rPr>
        <w:t>20 and 30</w:t>
      </w:r>
      <w:r w:rsidRPr="00E10812">
        <w:rPr>
          <w:rFonts w:ascii="Times New Roman" w:eastAsia="Times New Roman" w:hAnsi="Times New Roman" w:cs="Times New Roman"/>
          <w:sz w:val="24"/>
          <w:szCs w:val="24"/>
        </w:rPr>
        <w:t xml:space="preserve">. The most frequent age group appears to be </w:t>
      </w:r>
      <w:r w:rsidRPr="00E10812">
        <w:rPr>
          <w:rFonts w:ascii="Times New Roman" w:eastAsia="Times New Roman" w:hAnsi="Times New Roman" w:cs="Times New Roman"/>
          <w:b/>
          <w:bCs/>
          <w:sz w:val="24"/>
          <w:szCs w:val="24"/>
        </w:rPr>
        <w:t>21 to 24 years old</w:t>
      </w:r>
      <w:r w:rsidRPr="00E10812">
        <w:rPr>
          <w:rFonts w:ascii="Times New Roman" w:eastAsia="Times New Roman" w:hAnsi="Times New Roman" w:cs="Times New Roman"/>
          <w:sz w:val="24"/>
          <w:szCs w:val="24"/>
        </w:rPr>
        <w:t>, indicating that clubs tend to recruit and retain players during their early to mid-twenties. The frequency declines significantly after age 30, reflecting the typical athletic peak and eventual decline in physical performance associated with aging in professional football.</w:t>
      </w:r>
    </w:p>
    <w:p w:rsidR="00E0312D" w:rsidRPr="00E10812" w:rsidRDefault="00E0312D" w:rsidP="00E0312D">
      <w:p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This age profile aligns with real-world trends where younger players are scouted for their potential and older players often transition out of top-tier football due to declining physical attributes or injury concerns.</w:t>
      </w:r>
    </w:p>
    <w:p w:rsidR="00E0312D" w:rsidRPr="00E10812" w:rsidRDefault="00E0312D" w:rsidP="00E0312D">
      <w:p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noProof/>
          <w:sz w:val="24"/>
          <w:szCs w:val="24"/>
        </w:rPr>
        <w:drawing>
          <wp:inline distT="0" distB="0" distL="0" distR="0">
            <wp:extent cx="4754880" cy="425767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754880" cy="4257675"/>
                    </a:xfrm>
                    <a:prstGeom prst="rect">
                      <a:avLst/>
                    </a:prstGeom>
                    <a:noFill/>
                    <a:ln w="9525">
                      <a:noFill/>
                      <a:miter lim="800000"/>
                      <a:headEnd/>
                      <a:tailEnd/>
                    </a:ln>
                  </pic:spPr>
                </pic:pic>
              </a:graphicData>
            </a:graphic>
          </wp:inline>
        </w:drawing>
      </w:r>
    </w:p>
    <w:p w:rsidR="00E0312D" w:rsidRPr="00E10812" w:rsidRDefault="00E0312D" w:rsidP="00E0312D">
      <w:p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b/>
          <w:bCs/>
          <w:sz w:val="24"/>
          <w:szCs w:val="24"/>
        </w:rPr>
        <w:t xml:space="preserve">Correlation Analysis of Player </w:t>
      </w:r>
      <w:proofErr w:type="gramStart"/>
      <w:r w:rsidRPr="00E10812">
        <w:rPr>
          <w:rFonts w:ascii="Times New Roman" w:eastAsia="Times New Roman" w:hAnsi="Times New Roman" w:cs="Times New Roman"/>
          <w:b/>
          <w:bCs/>
          <w:sz w:val="24"/>
          <w:szCs w:val="24"/>
        </w:rPr>
        <w:t>Attributes</w:t>
      </w:r>
      <w:proofErr w:type="gramEnd"/>
      <w:r w:rsidRPr="00E10812">
        <w:rPr>
          <w:rFonts w:ascii="Times New Roman" w:eastAsia="Times New Roman" w:hAnsi="Times New Roman" w:cs="Times New Roman"/>
          <w:sz w:val="24"/>
          <w:szCs w:val="24"/>
        </w:rPr>
        <w:br/>
        <w:t>The correlation matrix reveals the linear relationships between various player attributes and performance metrics in the FIFA 23 dataset. Key observations include:</w:t>
      </w:r>
    </w:p>
    <w:p w:rsidR="00E0312D" w:rsidRPr="00E10812" w:rsidRDefault="00E0312D" w:rsidP="00E031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b/>
          <w:bCs/>
          <w:sz w:val="24"/>
          <w:szCs w:val="24"/>
        </w:rPr>
        <w:t>Strong Positive Correlations</w:t>
      </w:r>
      <w:r w:rsidRPr="00E10812">
        <w:rPr>
          <w:rFonts w:ascii="Times New Roman" w:eastAsia="Times New Roman" w:hAnsi="Times New Roman" w:cs="Times New Roman"/>
          <w:sz w:val="24"/>
          <w:szCs w:val="24"/>
        </w:rPr>
        <w:t>:</w:t>
      </w:r>
    </w:p>
    <w:p w:rsidR="00E0312D" w:rsidRPr="00E10812" w:rsidRDefault="00E0312D" w:rsidP="00E031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i/>
          <w:iCs/>
          <w:sz w:val="24"/>
          <w:szCs w:val="24"/>
        </w:rPr>
        <w:t>Overall rating</w:t>
      </w:r>
      <w:r w:rsidRPr="00E10812">
        <w:rPr>
          <w:rFonts w:ascii="Times New Roman" w:eastAsia="Times New Roman" w:hAnsi="Times New Roman" w:cs="Times New Roman"/>
          <w:sz w:val="24"/>
          <w:szCs w:val="24"/>
        </w:rPr>
        <w:t xml:space="preserve"> is strongly correlated with attributes like </w:t>
      </w:r>
      <w:r w:rsidRPr="00E10812">
        <w:rPr>
          <w:rFonts w:ascii="Times New Roman" w:eastAsia="Times New Roman" w:hAnsi="Times New Roman" w:cs="Times New Roman"/>
          <w:b/>
          <w:bCs/>
          <w:sz w:val="24"/>
          <w:szCs w:val="24"/>
        </w:rPr>
        <w:t>potential</w:t>
      </w:r>
      <w:r w:rsidRPr="00E10812">
        <w:rPr>
          <w:rFonts w:ascii="Times New Roman" w:eastAsia="Times New Roman" w:hAnsi="Times New Roman" w:cs="Times New Roman"/>
          <w:sz w:val="24"/>
          <w:szCs w:val="24"/>
        </w:rPr>
        <w:t xml:space="preserve">, </w:t>
      </w:r>
      <w:r w:rsidRPr="00E10812">
        <w:rPr>
          <w:rFonts w:ascii="Times New Roman" w:eastAsia="Times New Roman" w:hAnsi="Times New Roman" w:cs="Times New Roman"/>
          <w:b/>
          <w:bCs/>
          <w:sz w:val="24"/>
          <w:szCs w:val="24"/>
        </w:rPr>
        <w:t>wage</w:t>
      </w:r>
      <w:r w:rsidRPr="00E10812">
        <w:rPr>
          <w:rFonts w:ascii="Times New Roman" w:eastAsia="Times New Roman" w:hAnsi="Times New Roman" w:cs="Times New Roman"/>
          <w:sz w:val="24"/>
          <w:szCs w:val="24"/>
        </w:rPr>
        <w:t xml:space="preserve">, and </w:t>
      </w:r>
      <w:r w:rsidRPr="00E10812">
        <w:rPr>
          <w:rFonts w:ascii="Times New Roman" w:eastAsia="Times New Roman" w:hAnsi="Times New Roman" w:cs="Times New Roman"/>
          <w:b/>
          <w:bCs/>
          <w:sz w:val="24"/>
          <w:szCs w:val="24"/>
        </w:rPr>
        <w:t>value (EUR)</w:t>
      </w:r>
      <w:r w:rsidRPr="00E10812">
        <w:rPr>
          <w:rFonts w:ascii="Times New Roman" w:eastAsia="Times New Roman" w:hAnsi="Times New Roman" w:cs="Times New Roman"/>
          <w:sz w:val="24"/>
          <w:szCs w:val="24"/>
        </w:rPr>
        <w:t>.</w:t>
      </w:r>
    </w:p>
    <w:p w:rsidR="00E0312D" w:rsidRPr="00E10812" w:rsidRDefault="00E0312D" w:rsidP="00E031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Physical and movement stats such as </w:t>
      </w:r>
      <w:r w:rsidRPr="00E10812">
        <w:rPr>
          <w:rFonts w:ascii="Times New Roman" w:eastAsia="Times New Roman" w:hAnsi="Times New Roman" w:cs="Times New Roman"/>
          <w:b/>
          <w:bCs/>
          <w:sz w:val="24"/>
          <w:szCs w:val="24"/>
        </w:rPr>
        <w:t>acceleration</w:t>
      </w:r>
      <w:r w:rsidRPr="00E10812">
        <w:rPr>
          <w:rFonts w:ascii="Times New Roman" w:eastAsia="Times New Roman" w:hAnsi="Times New Roman" w:cs="Times New Roman"/>
          <w:sz w:val="24"/>
          <w:szCs w:val="24"/>
        </w:rPr>
        <w:t xml:space="preserve">, </w:t>
      </w:r>
      <w:r w:rsidRPr="00E10812">
        <w:rPr>
          <w:rFonts w:ascii="Times New Roman" w:eastAsia="Times New Roman" w:hAnsi="Times New Roman" w:cs="Times New Roman"/>
          <w:b/>
          <w:bCs/>
          <w:sz w:val="24"/>
          <w:szCs w:val="24"/>
        </w:rPr>
        <w:t>sprint speed</w:t>
      </w:r>
      <w:r w:rsidRPr="00E10812">
        <w:rPr>
          <w:rFonts w:ascii="Times New Roman" w:eastAsia="Times New Roman" w:hAnsi="Times New Roman" w:cs="Times New Roman"/>
          <w:sz w:val="24"/>
          <w:szCs w:val="24"/>
        </w:rPr>
        <w:t xml:space="preserve">, and </w:t>
      </w:r>
      <w:r w:rsidRPr="00E10812">
        <w:rPr>
          <w:rFonts w:ascii="Times New Roman" w:eastAsia="Times New Roman" w:hAnsi="Times New Roman" w:cs="Times New Roman"/>
          <w:b/>
          <w:bCs/>
          <w:sz w:val="24"/>
          <w:szCs w:val="24"/>
        </w:rPr>
        <w:t>agility</w:t>
      </w:r>
      <w:r w:rsidRPr="00E10812">
        <w:rPr>
          <w:rFonts w:ascii="Times New Roman" w:eastAsia="Times New Roman" w:hAnsi="Times New Roman" w:cs="Times New Roman"/>
          <w:sz w:val="24"/>
          <w:szCs w:val="24"/>
        </w:rPr>
        <w:t xml:space="preserve"> show high inter-correlation, suggesting </w:t>
      </w:r>
      <w:proofErr w:type="gramStart"/>
      <w:r w:rsidRPr="00E10812">
        <w:rPr>
          <w:rFonts w:ascii="Times New Roman" w:eastAsia="Times New Roman" w:hAnsi="Times New Roman" w:cs="Times New Roman"/>
          <w:sz w:val="24"/>
          <w:szCs w:val="24"/>
        </w:rPr>
        <w:t>these form</w:t>
      </w:r>
      <w:proofErr w:type="gramEnd"/>
      <w:r w:rsidRPr="00E10812">
        <w:rPr>
          <w:rFonts w:ascii="Times New Roman" w:eastAsia="Times New Roman" w:hAnsi="Times New Roman" w:cs="Times New Roman"/>
          <w:sz w:val="24"/>
          <w:szCs w:val="24"/>
        </w:rPr>
        <w:t xml:space="preserve"> a natural cluster of athleticism-related traits.</w:t>
      </w:r>
    </w:p>
    <w:p w:rsidR="00E0312D" w:rsidRPr="00E10812" w:rsidRDefault="00E0312D" w:rsidP="00E031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Technical skills like </w:t>
      </w:r>
      <w:r w:rsidRPr="00E10812">
        <w:rPr>
          <w:rFonts w:ascii="Times New Roman" w:eastAsia="Times New Roman" w:hAnsi="Times New Roman" w:cs="Times New Roman"/>
          <w:b/>
          <w:bCs/>
          <w:sz w:val="24"/>
          <w:szCs w:val="24"/>
        </w:rPr>
        <w:t>short passing</w:t>
      </w:r>
      <w:r w:rsidRPr="00E10812">
        <w:rPr>
          <w:rFonts w:ascii="Times New Roman" w:eastAsia="Times New Roman" w:hAnsi="Times New Roman" w:cs="Times New Roman"/>
          <w:sz w:val="24"/>
          <w:szCs w:val="24"/>
        </w:rPr>
        <w:t xml:space="preserve">, </w:t>
      </w:r>
      <w:r w:rsidRPr="00E10812">
        <w:rPr>
          <w:rFonts w:ascii="Times New Roman" w:eastAsia="Times New Roman" w:hAnsi="Times New Roman" w:cs="Times New Roman"/>
          <w:b/>
          <w:bCs/>
          <w:sz w:val="24"/>
          <w:szCs w:val="24"/>
        </w:rPr>
        <w:t>vision</w:t>
      </w:r>
      <w:r w:rsidRPr="00E10812">
        <w:rPr>
          <w:rFonts w:ascii="Times New Roman" w:eastAsia="Times New Roman" w:hAnsi="Times New Roman" w:cs="Times New Roman"/>
          <w:sz w:val="24"/>
          <w:szCs w:val="24"/>
        </w:rPr>
        <w:t xml:space="preserve">, and </w:t>
      </w:r>
      <w:r w:rsidRPr="00E10812">
        <w:rPr>
          <w:rFonts w:ascii="Times New Roman" w:eastAsia="Times New Roman" w:hAnsi="Times New Roman" w:cs="Times New Roman"/>
          <w:b/>
          <w:bCs/>
          <w:sz w:val="24"/>
          <w:szCs w:val="24"/>
        </w:rPr>
        <w:t>ball control</w:t>
      </w:r>
      <w:r w:rsidRPr="00E10812">
        <w:rPr>
          <w:rFonts w:ascii="Times New Roman" w:eastAsia="Times New Roman" w:hAnsi="Times New Roman" w:cs="Times New Roman"/>
          <w:sz w:val="24"/>
          <w:szCs w:val="24"/>
        </w:rPr>
        <w:t xml:space="preserve"> are also tightly correlated, indicative of the playmaking role.</w:t>
      </w:r>
    </w:p>
    <w:p w:rsidR="00E0312D" w:rsidRPr="00E10812" w:rsidRDefault="00E0312D" w:rsidP="00E031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b/>
          <w:bCs/>
          <w:sz w:val="24"/>
          <w:szCs w:val="24"/>
        </w:rPr>
        <w:t>Moderate to Strong Correlation with Market Value</w:t>
      </w:r>
      <w:r w:rsidRPr="00E10812">
        <w:rPr>
          <w:rFonts w:ascii="Times New Roman" w:eastAsia="Times New Roman" w:hAnsi="Times New Roman" w:cs="Times New Roman"/>
          <w:sz w:val="24"/>
          <w:szCs w:val="24"/>
        </w:rPr>
        <w:t>:</w:t>
      </w:r>
    </w:p>
    <w:p w:rsidR="00E0312D" w:rsidRPr="00E10812" w:rsidRDefault="00E0312D" w:rsidP="00E031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Attributes such as </w:t>
      </w:r>
      <w:r w:rsidRPr="00E10812">
        <w:rPr>
          <w:rFonts w:ascii="Times New Roman" w:eastAsia="Times New Roman" w:hAnsi="Times New Roman" w:cs="Times New Roman"/>
          <w:b/>
          <w:bCs/>
          <w:sz w:val="24"/>
          <w:szCs w:val="24"/>
        </w:rPr>
        <w:t>potential</w:t>
      </w:r>
      <w:r w:rsidRPr="00E10812">
        <w:rPr>
          <w:rFonts w:ascii="Times New Roman" w:eastAsia="Times New Roman" w:hAnsi="Times New Roman" w:cs="Times New Roman"/>
          <w:sz w:val="24"/>
          <w:szCs w:val="24"/>
        </w:rPr>
        <w:t xml:space="preserve">, </w:t>
      </w:r>
      <w:r w:rsidRPr="00E10812">
        <w:rPr>
          <w:rFonts w:ascii="Times New Roman" w:eastAsia="Times New Roman" w:hAnsi="Times New Roman" w:cs="Times New Roman"/>
          <w:b/>
          <w:bCs/>
          <w:sz w:val="24"/>
          <w:szCs w:val="24"/>
        </w:rPr>
        <w:t>overall rating</w:t>
      </w:r>
      <w:r w:rsidRPr="00E10812">
        <w:rPr>
          <w:rFonts w:ascii="Times New Roman" w:eastAsia="Times New Roman" w:hAnsi="Times New Roman" w:cs="Times New Roman"/>
          <w:sz w:val="24"/>
          <w:szCs w:val="24"/>
        </w:rPr>
        <w:t xml:space="preserve">, </w:t>
      </w:r>
      <w:r w:rsidRPr="00E10812">
        <w:rPr>
          <w:rFonts w:ascii="Times New Roman" w:eastAsia="Times New Roman" w:hAnsi="Times New Roman" w:cs="Times New Roman"/>
          <w:b/>
          <w:bCs/>
          <w:sz w:val="24"/>
          <w:szCs w:val="24"/>
        </w:rPr>
        <w:t>international reputation</w:t>
      </w:r>
      <w:r w:rsidRPr="00E10812">
        <w:rPr>
          <w:rFonts w:ascii="Times New Roman" w:eastAsia="Times New Roman" w:hAnsi="Times New Roman" w:cs="Times New Roman"/>
          <w:sz w:val="24"/>
          <w:szCs w:val="24"/>
        </w:rPr>
        <w:t xml:space="preserve">, and </w:t>
      </w:r>
      <w:r w:rsidRPr="00E10812">
        <w:rPr>
          <w:rFonts w:ascii="Times New Roman" w:eastAsia="Times New Roman" w:hAnsi="Times New Roman" w:cs="Times New Roman"/>
          <w:b/>
          <w:bCs/>
          <w:sz w:val="24"/>
          <w:szCs w:val="24"/>
        </w:rPr>
        <w:t>wage</w:t>
      </w:r>
      <w:r w:rsidRPr="00E10812">
        <w:rPr>
          <w:rFonts w:ascii="Times New Roman" w:eastAsia="Times New Roman" w:hAnsi="Times New Roman" w:cs="Times New Roman"/>
          <w:sz w:val="24"/>
          <w:szCs w:val="24"/>
        </w:rPr>
        <w:t xml:space="preserve"> correlate significantly with </w:t>
      </w:r>
      <w:r w:rsidRPr="00E10812">
        <w:rPr>
          <w:rFonts w:ascii="Times New Roman" w:eastAsia="Times New Roman" w:hAnsi="Times New Roman" w:cs="Times New Roman"/>
          <w:b/>
          <w:bCs/>
          <w:sz w:val="24"/>
          <w:szCs w:val="24"/>
        </w:rPr>
        <w:t>market value</w:t>
      </w:r>
      <w:r w:rsidRPr="00E10812">
        <w:rPr>
          <w:rFonts w:ascii="Times New Roman" w:eastAsia="Times New Roman" w:hAnsi="Times New Roman" w:cs="Times New Roman"/>
          <w:sz w:val="24"/>
          <w:szCs w:val="24"/>
        </w:rPr>
        <w:t>, confirming that these metrics are major contributors to player valuation.</w:t>
      </w:r>
    </w:p>
    <w:p w:rsidR="00E0312D" w:rsidRPr="00E10812" w:rsidRDefault="00E0312D" w:rsidP="00E031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b/>
          <w:bCs/>
          <w:sz w:val="24"/>
          <w:szCs w:val="24"/>
        </w:rPr>
        <w:t>Negative or Weak Correlations</w:t>
      </w:r>
      <w:r w:rsidRPr="00E10812">
        <w:rPr>
          <w:rFonts w:ascii="Times New Roman" w:eastAsia="Times New Roman" w:hAnsi="Times New Roman" w:cs="Times New Roman"/>
          <w:sz w:val="24"/>
          <w:szCs w:val="24"/>
        </w:rPr>
        <w:t>:</w:t>
      </w:r>
    </w:p>
    <w:p w:rsidR="00E0312D" w:rsidRPr="00E10812" w:rsidRDefault="00E0312D" w:rsidP="00E031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Some goalkeeping attributes show negative or negligible correlation with outfield attributes, which is expected due to positional differences.</w:t>
      </w:r>
    </w:p>
    <w:p w:rsidR="00E0312D" w:rsidRPr="00E10812" w:rsidRDefault="00E0312D" w:rsidP="00E031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Attributes like </w:t>
      </w:r>
      <w:r w:rsidRPr="00E10812">
        <w:rPr>
          <w:rFonts w:ascii="Times New Roman" w:eastAsia="Times New Roman" w:hAnsi="Times New Roman" w:cs="Times New Roman"/>
          <w:b/>
          <w:bCs/>
          <w:sz w:val="24"/>
          <w:szCs w:val="24"/>
        </w:rPr>
        <w:t>weak foot</w:t>
      </w:r>
      <w:r w:rsidRPr="00E10812">
        <w:rPr>
          <w:rFonts w:ascii="Times New Roman" w:eastAsia="Times New Roman" w:hAnsi="Times New Roman" w:cs="Times New Roman"/>
          <w:sz w:val="24"/>
          <w:szCs w:val="24"/>
        </w:rPr>
        <w:t xml:space="preserve"> or </w:t>
      </w:r>
      <w:r w:rsidRPr="00E10812">
        <w:rPr>
          <w:rFonts w:ascii="Times New Roman" w:eastAsia="Times New Roman" w:hAnsi="Times New Roman" w:cs="Times New Roman"/>
          <w:b/>
          <w:bCs/>
          <w:sz w:val="24"/>
          <w:szCs w:val="24"/>
        </w:rPr>
        <w:t>work rate</w:t>
      </w:r>
      <w:r w:rsidRPr="00E10812">
        <w:rPr>
          <w:rFonts w:ascii="Times New Roman" w:eastAsia="Times New Roman" w:hAnsi="Times New Roman" w:cs="Times New Roman"/>
          <w:sz w:val="24"/>
          <w:szCs w:val="24"/>
        </w:rPr>
        <w:t xml:space="preserve"> exhibit low correlation with most quantitative performance metrics, indicating they may play a more nuanced or qualitative role in player evaluation.</w:t>
      </w:r>
    </w:p>
    <w:p w:rsidR="00E0312D" w:rsidRPr="00E10812" w:rsidRDefault="00E0312D" w:rsidP="00E0312D">
      <w:pPr>
        <w:spacing w:before="100" w:beforeAutospacing="1" w:after="100" w:afterAutospacing="1" w:line="240" w:lineRule="auto"/>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This analysis is critical for identifying which attributes most influence a player’s market value and helps streamline feature selection for regression modeling.</w:t>
      </w:r>
    </w:p>
    <w:tbl>
      <w:tblPr>
        <w:tblStyle w:val="TableGrid"/>
        <w:tblW w:w="0" w:type="auto"/>
        <w:tblLayout w:type="fixed"/>
        <w:tblLook w:val="04A0"/>
      </w:tblPr>
      <w:tblGrid>
        <w:gridCol w:w="956"/>
        <w:gridCol w:w="1582"/>
        <w:gridCol w:w="1816"/>
        <w:gridCol w:w="1424"/>
      </w:tblGrid>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p>
        </w:tc>
        <w:tc>
          <w:tcPr>
            <w:tcW w:w="1582" w:type="dxa"/>
            <w:tcBorders>
              <w:left w:val="single" w:sz="4" w:space="0" w:color="auto"/>
              <w:right w:val="single" w:sz="4" w:space="0" w:color="auto"/>
            </w:tcBorders>
          </w:tcPr>
          <w:p w:rsidR="00E10812" w:rsidRPr="00E10812" w:rsidRDefault="00E10812" w:rsidP="00E10812">
            <w:pPr>
              <w:spacing w:before="100" w:beforeAutospacing="1" w:after="100" w:afterAutospacing="1"/>
              <w:ind w:left="53"/>
              <w:rPr>
                <w:rFonts w:ascii="Times New Roman" w:eastAsia="Times New Roman" w:hAnsi="Times New Roman" w:cs="Times New Roman"/>
                <w:sz w:val="24"/>
                <w:szCs w:val="24"/>
              </w:rPr>
            </w:pPr>
            <w:proofErr w:type="spellStart"/>
            <w:r w:rsidRPr="00E10812">
              <w:rPr>
                <w:rFonts w:ascii="Times New Roman" w:eastAsia="Times New Roman" w:hAnsi="Times New Roman" w:cs="Times New Roman"/>
                <w:sz w:val="24"/>
                <w:szCs w:val="24"/>
              </w:rPr>
              <w:t>short_name</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rPr>
                <w:rFonts w:ascii="Times New Roman" w:eastAsia="Times New Roman" w:hAnsi="Times New Roman" w:cs="Times New Roman"/>
                <w:sz w:val="24"/>
                <w:szCs w:val="24"/>
              </w:rPr>
            </w:pPr>
            <w:proofErr w:type="spellStart"/>
            <w:r w:rsidRPr="00E10812">
              <w:rPr>
                <w:rFonts w:ascii="Times New Roman" w:eastAsia="Times New Roman" w:hAnsi="Times New Roman" w:cs="Times New Roman"/>
                <w:sz w:val="24"/>
                <w:szCs w:val="24"/>
              </w:rPr>
              <w:t>value_eur</w:t>
            </w:r>
            <w:proofErr w:type="spellEnd"/>
            <w:r w:rsidRPr="00E10812">
              <w:rPr>
                <w:rFonts w:ascii="Times New Roman" w:eastAsia="Times New Roman" w:hAnsi="Times New Roman" w:cs="Times New Roman"/>
                <w:sz w:val="24"/>
                <w:szCs w:val="24"/>
              </w:rPr>
              <w:t xml:space="preserve">  overall</w:t>
            </w:r>
          </w:p>
        </w:tc>
        <w:tc>
          <w:tcPr>
            <w:tcW w:w="1424" w:type="dxa"/>
            <w:tcBorders>
              <w:left w:val="single" w:sz="4" w:space="0" w:color="auto"/>
            </w:tcBorders>
          </w:tcPr>
          <w:p w:rsidR="00E10812" w:rsidRPr="00E10812" w:rsidRDefault="00E10812" w:rsidP="00E10812">
            <w:pPr>
              <w:spacing w:before="100" w:beforeAutospacing="1" w:after="100" w:afterAutospacing="1"/>
              <w:ind w:left="19"/>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potential</w:t>
            </w:r>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123817</w:t>
            </w:r>
          </w:p>
        </w:tc>
        <w:tc>
          <w:tcPr>
            <w:tcW w:w="1582" w:type="dxa"/>
            <w:tcBorders>
              <w:left w:val="single" w:sz="4" w:space="0" w:color="auto"/>
              <w:right w:val="single" w:sz="4" w:space="0" w:color="auto"/>
            </w:tcBorders>
          </w:tcPr>
          <w:p w:rsidR="00E10812" w:rsidRPr="00E10812" w:rsidRDefault="00E10812" w:rsidP="00E10812">
            <w:pPr>
              <w:spacing w:before="100" w:beforeAutospacing="1" w:after="100" w:afterAutospacing="1"/>
              <w:ind w:left="53"/>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K. </w:t>
            </w:r>
            <w:proofErr w:type="spellStart"/>
            <w:r w:rsidRPr="00E10812">
              <w:rPr>
                <w:rFonts w:ascii="Times New Roman" w:eastAsia="Times New Roman" w:hAnsi="Times New Roman" w:cs="Times New Roman"/>
                <w:sz w:val="24"/>
                <w:szCs w:val="24"/>
              </w:rPr>
              <w:t>Mbappé</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72"/>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194000000.0</w:t>
            </w:r>
          </w:p>
        </w:tc>
        <w:tc>
          <w:tcPr>
            <w:tcW w:w="1424" w:type="dxa"/>
            <w:tcBorders>
              <w:left w:val="single" w:sz="4" w:space="0" w:color="auto"/>
            </w:tcBorders>
          </w:tcPr>
          <w:p w:rsidR="00E10812" w:rsidRPr="00E10812" w:rsidRDefault="00E10812" w:rsidP="00E10812">
            <w:pPr>
              <w:spacing w:before="100" w:beforeAutospacing="1" w:after="100" w:afterAutospacing="1"/>
              <w:ind w:left="114"/>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91         95</w:t>
            </w:r>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143054</w:t>
            </w:r>
          </w:p>
        </w:tc>
        <w:tc>
          <w:tcPr>
            <w:tcW w:w="1582" w:type="dxa"/>
            <w:tcBorders>
              <w:left w:val="single" w:sz="4" w:space="0" w:color="auto"/>
              <w:right w:val="single" w:sz="4" w:space="0" w:color="auto"/>
            </w:tcBorders>
          </w:tcPr>
          <w:p w:rsidR="00E10812" w:rsidRPr="00E10812" w:rsidRDefault="00E10812" w:rsidP="00E10812">
            <w:pPr>
              <w:spacing w:before="100" w:beforeAutospacing="1" w:after="100" w:afterAutospacing="1"/>
              <w:ind w:left="53"/>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K. </w:t>
            </w:r>
            <w:proofErr w:type="spellStart"/>
            <w:r w:rsidRPr="00E10812">
              <w:rPr>
                <w:rFonts w:ascii="Times New Roman" w:eastAsia="Times New Roman" w:hAnsi="Times New Roman" w:cs="Times New Roman"/>
                <w:sz w:val="24"/>
                <w:szCs w:val="24"/>
              </w:rPr>
              <w:t>Mbappé</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72"/>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190500000.0</w:t>
            </w:r>
          </w:p>
        </w:tc>
        <w:tc>
          <w:tcPr>
            <w:tcW w:w="1424" w:type="dxa"/>
            <w:tcBorders>
              <w:left w:val="single" w:sz="4" w:space="0" w:color="auto"/>
            </w:tcBorders>
          </w:tcPr>
          <w:p w:rsidR="00E10812" w:rsidRPr="00E10812" w:rsidRDefault="00E10812" w:rsidP="00E10812">
            <w:pPr>
              <w:spacing w:before="100" w:beforeAutospacing="1" w:after="100" w:afterAutospacing="1"/>
              <w:ind w:left="172"/>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91         95</w:t>
            </w:r>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104935</w:t>
            </w:r>
          </w:p>
        </w:tc>
        <w:tc>
          <w:tcPr>
            <w:tcW w:w="1582" w:type="dxa"/>
            <w:tcBorders>
              <w:left w:val="single" w:sz="4" w:space="0" w:color="auto"/>
              <w:right w:val="single" w:sz="4" w:space="0" w:color="auto"/>
            </w:tcBorders>
          </w:tcPr>
          <w:p w:rsidR="00E10812" w:rsidRPr="00E10812" w:rsidRDefault="00E10812" w:rsidP="00E10812">
            <w:pPr>
              <w:spacing w:before="100" w:beforeAutospacing="1" w:after="100" w:afterAutospacing="1"/>
              <w:ind w:left="53"/>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K. </w:t>
            </w:r>
            <w:proofErr w:type="spellStart"/>
            <w:r w:rsidRPr="00E10812">
              <w:rPr>
                <w:rFonts w:ascii="Times New Roman" w:eastAsia="Times New Roman" w:hAnsi="Times New Roman" w:cs="Times New Roman"/>
                <w:sz w:val="24"/>
                <w:szCs w:val="24"/>
              </w:rPr>
              <w:t>Mbappé</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72"/>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185500000.0</w:t>
            </w:r>
          </w:p>
        </w:tc>
        <w:tc>
          <w:tcPr>
            <w:tcW w:w="1424" w:type="dxa"/>
            <w:tcBorders>
              <w:left w:val="single" w:sz="4" w:space="0" w:color="auto"/>
            </w:tcBorders>
          </w:tcPr>
          <w:p w:rsidR="00E10812" w:rsidRPr="00E10812" w:rsidRDefault="00E10812" w:rsidP="00E10812">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90         95</w:t>
            </w:r>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143078</w:t>
            </w:r>
          </w:p>
        </w:tc>
        <w:tc>
          <w:tcPr>
            <w:tcW w:w="1582" w:type="dxa"/>
            <w:tcBorders>
              <w:left w:val="single" w:sz="4" w:space="0" w:color="auto"/>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E. </w:t>
            </w:r>
            <w:proofErr w:type="spellStart"/>
            <w:r w:rsidRPr="00E10812">
              <w:rPr>
                <w:rFonts w:ascii="Times New Roman" w:eastAsia="Times New Roman" w:hAnsi="Times New Roman" w:cs="Times New Roman"/>
                <w:sz w:val="24"/>
                <w:szCs w:val="24"/>
              </w:rPr>
              <w:t>Haaland</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7"/>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148000000.0</w:t>
            </w:r>
          </w:p>
        </w:tc>
        <w:tc>
          <w:tcPr>
            <w:tcW w:w="1424" w:type="dxa"/>
            <w:tcBorders>
              <w:left w:val="single" w:sz="4" w:space="0" w:color="auto"/>
            </w:tcBorders>
          </w:tcPr>
          <w:p w:rsidR="00E10812" w:rsidRPr="00E10812" w:rsidRDefault="00E10812" w:rsidP="00E10812">
            <w:pPr>
              <w:spacing w:before="100" w:beforeAutospacing="1" w:after="100" w:afterAutospacing="1"/>
              <w:ind w:left="49"/>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88         94</w:t>
            </w:r>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123840</w:t>
            </w:r>
          </w:p>
        </w:tc>
        <w:tc>
          <w:tcPr>
            <w:tcW w:w="1582" w:type="dxa"/>
            <w:tcBorders>
              <w:left w:val="single" w:sz="4" w:space="0" w:color="auto"/>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E. </w:t>
            </w:r>
            <w:proofErr w:type="spellStart"/>
            <w:r w:rsidRPr="00E10812">
              <w:rPr>
                <w:rFonts w:ascii="Times New Roman" w:eastAsia="Times New Roman" w:hAnsi="Times New Roman" w:cs="Times New Roman"/>
                <w:sz w:val="24"/>
                <w:szCs w:val="24"/>
              </w:rPr>
              <w:t>Haaland</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7"/>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137500000.0</w:t>
            </w:r>
          </w:p>
        </w:tc>
        <w:tc>
          <w:tcPr>
            <w:tcW w:w="1424" w:type="dxa"/>
            <w:tcBorders>
              <w:left w:val="single" w:sz="4" w:space="0" w:color="auto"/>
            </w:tcBorders>
          </w:tcPr>
          <w:p w:rsidR="00E10812" w:rsidRPr="00E10812" w:rsidRDefault="00E10812" w:rsidP="00E10812">
            <w:pPr>
              <w:spacing w:before="100" w:beforeAutospacing="1" w:after="100" w:afterAutospacing="1"/>
              <w:ind w:left="49"/>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88         93</w:t>
            </w:r>
          </w:p>
        </w:tc>
      </w:tr>
      <w:tr w:rsidR="00E10812" w:rsidRPr="00E10812" w:rsidTr="00E10812">
        <w:trPr>
          <w:trHeight w:val="296"/>
        </w:trPr>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104927</w:t>
            </w:r>
          </w:p>
        </w:tc>
        <w:tc>
          <w:tcPr>
            <w:tcW w:w="1582" w:type="dxa"/>
            <w:tcBorders>
              <w:left w:val="single" w:sz="4" w:space="0" w:color="auto"/>
              <w:right w:val="single" w:sz="4" w:space="0" w:color="auto"/>
            </w:tcBorders>
          </w:tcPr>
          <w:p w:rsidR="00E10812" w:rsidRPr="00E10812" w:rsidRDefault="00E10812" w:rsidP="00E10812">
            <w:pPr>
              <w:spacing w:before="100" w:beforeAutospacing="1" w:after="100" w:afterAutospacing="1"/>
              <w:ind w:left="53"/>
              <w:rPr>
                <w:rFonts w:ascii="Times New Roman" w:eastAsia="Times New Roman" w:hAnsi="Times New Roman" w:cs="Times New Roman"/>
                <w:sz w:val="24"/>
                <w:szCs w:val="24"/>
              </w:rPr>
            </w:pPr>
            <w:proofErr w:type="spellStart"/>
            <w:r w:rsidRPr="00E10812">
              <w:rPr>
                <w:rFonts w:ascii="Times New Roman" w:eastAsia="Times New Roman" w:hAnsi="Times New Roman" w:cs="Times New Roman"/>
                <w:sz w:val="24"/>
                <w:szCs w:val="24"/>
              </w:rPr>
              <w:t>Neymar</w:t>
            </w:r>
            <w:proofErr w:type="spellEnd"/>
            <w:r w:rsidRPr="00E10812">
              <w:rPr>
                <w:rFonts w:ascii="Times New Roman" w:eastAsia="Times New Roman" w:hAnsi="Times New Roman" w:cs="Times New Roman"/>
                <w:sz w:val="24"/>
                <w:szCs w:val="24"/>
              </w:rPr>
              <w:t xml:space="preserve"> </w:t>
            </w:r>
            <w:proofErr w:type="spellStart"/>
            <w:r w:rsidRPr="00E10812">
              <w:rPr>
                <w:rFonts w:ascii="Times New Roman" w:eastAsia="Times New Roman" w:hAnsi="Times New Roman" w:cs="Times New Roman"/>
                <w:sz w:val="24"/>
                <w:szCs w:val="24"/>
              </w:rPr>
              <w:t>Jr</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60"/>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132000000.0</w:t>
            </w:r>
          </w:p>
        </w:tc>
        <w:tc>
          <w:tcPr>
            <w:tcW w:w="1424" w:type="dxa"/>
            <w:tcBorders>
              <w:left w:val="single" w:sz="4" w:space="0" w:color="auto"/>
            </w:tcBorders>
          </w:tcPr>
          <w:p w:rsidR="00E10812" w:rsidRPr="00E10812" w:rsidRDefault="00E10812" w:rsidP="00E10812">
            <w:pPr>
              <w:spacing w:before="100" w:beforeAutospacing="1" w:after="100" w:afterAutospacing="1"/>
              <w:ind w:left="148"/>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91         </w:t>
            </w:r>
            <w:proofErr w:type="spellStart"/>
            <w:r w:rsidRPr="00E10812">
              <w:rPr>
                <w:rFonts w:ascii="Times New Roman" w:eastAsia="Times New Roman" w:hAnsi="Times New Roman" w:cs="Times New Roman"/>
                <w:sz w:val="24"/>
                <w:szCs w:val="24"/>
              </w:rPr>
              <w:t>91</w:t>
            </w:r>
            <w:proofErr w:type="spellEnd"/>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123820</w:t>
            </w:r>
          </w:p>
        </w:tc>
        <w:tc>
          <w:tcPr>
            <w:tcW w:w="1582" w:type="dxa"/>
            <w:tcBorders>
              <w:left w:val="single" w:sz="4" w:space="0" w:color="auto"/>
              <w:right w:val="single" w:sz="4" w:space="0" w:color="auto"/>
            </w:tcBorders>
          </w:tcPr>
          <w:p w:rsidR="00E10812" w:rsidRPr="00E10812" w:rsidRDefault="00E10812" w:rsidP="00E10812">
            <w:pPr>
              <w:spacing w:before="100" w:beforeAutospacing="1" w:after="100" w:afterAutospacing="1"/>
              <w:ind w:left="169"/>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H. Kane</w:t>
            </w:r>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199"/>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129500000.0</w:t>
            </w:r>
          </w:p>
        </w:tc>
        <w:tc>
          <w:tcPr>
            <w:tcW w:w="1424" w:type="dxa"/>
            <w:tcBorders>
              <w:left w:val="single" w:sz="4" w:space="0" w:color="auto"/>
            </w:tcBorders>
          </w:tcPr>
          <w:p w:rsidR="00E10812" w:rsidRPr="00E10812" w:rsidRDefault="00E10812" w:rsidP="00E10812">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90         </w:t>
            </w:r>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104928</w:t>
            </w:r>
          </w:p>
        </w:tc>
        <w:tc>
          <w:tcPr>
            <w:tcW w:w="1582" w:type="dxa"/>
            <w:tcBorders>
              <w:left w:val="single" w:sz="4" w:space="0" w:color="auto"/>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K. De </w:t>
            </w:r>
            <w:proofErr w:type="spellStart"/>
            <w:r w:rsidRPr="00E10812">
              <w:rPr>
                <w:rFonts w:ascii="Times New Roman" w:eastAsia="Times New Roman" w:hAnsi="Times New Roman" w:cs="Times New Roman"/>
                <w:sz w:val="24"/>
                <w:szCs w:val="24"/>
              </w:rPr>
              <w:t>Bruyne</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99"/>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129000000.0</w:t>
            </w:r>
          </w:p>
        </w:tc>
        <w:tc>
          <w:tcPr>
            <w:tcW w:w="1424" w:type="dxa"/>
            <w:tcBorders>
              <w:left w:val="single" w:sz="4" w:space="0" w:color="auto"/>
            </w:tcBorders>
          </w:tcPr>
          <w:p w:rsidR="00E10812" w:rsidRPr="00E10812" w:rsidRDefault="00E10812" w:rsidP="00E10812">
            <w:pPr>
              <w:spacing w:before="100" w:beforeAutospacing="1" w:after="100" w:afterAutospacing="1"/>
              <w:ind w:left="176"/>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91         </w:t>
            </w:r>
            <w:proofErr w:type="spellStart"/>
            <w:r w:rsidRPr="00E10812">
              <w:rPr>
                <w:rFonts w:ascii="Times New Roman" w:eastAsia="Times New Roman" w:hAnsi="Times New Roman" w:cs="Times New Roman"/>
                <w:sz w:val="24"/>
                <w:szCs w:val="24"/>
              </w:rPr>
              <w:t>91</w:t>
            </w:r>
            <w:proofErr w:type="spellEnd"/>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123814</w:t>
            </w:r>
          </w:p>
        </w:tc>
        <w:tc>
          <w:tcPr>
            <w:tcW w:w="1582" w:type="dxa"/>
            <w:tcBorders>
              <w:left w:val="single" w:sz="4" w:space="0" w:color="auto"/>
              <w:right w:val="single" w:sz="4" w:space="0" w:color="auto"/>
            </w:tcBorders>
          </w:tcPr>
          <w:p w:rsidR="00E10812" w:rsidRPr="00E10812" w:rsidRDefault="00E10812" w:rsidP="00E10812">
            <w:pPr>
              <w:spacing w:before="100" w:beforeAutospacing="1" w:after="100" w:afterAutospacing="1"/>
              <w:ind w:left="53"/>
              <w:rPr>
                <w:rFonts w:ascii="Times New Roman" w:eastAsia="Times New Roman" w:hAnsi="Times New Roman" w:cs="Times New Roman"/>
                <w:sz w:val="24"/>
                <w:szCs w:val="24"/>
              </w:rPr>
            </w:pPr>
            <w:proofErr w:type="spellStart"/>
            <w:r w:rsidRPr="00E10812">
              <w:rPr>
                <w:rFonts w:ascii="Times New Roman" w:eastAsia="Times New Roman" w:hAnsi="Times New Roman" w:cs="Times New Roman"/>
                <w:sz w:val="24"/>
                <w:szCs w:val="24"/>
              </w:rPr>
              <w:t>Neymar</w:t>
            </w:r>
            <w:proofErr w:type="spellEnd"/>
            <w:r w:rsidRPr="00E10812">
              <w:rPr>
                <w:rFonts w:ascii="Times New Roman" w:eastAsia="Times New Roman" w:hAnsi="Times New Roman" w:cs="Times New Roman"/>
                <w:sz w:val="24"/>
                <w:szCs w:val="24"/>
              </w:rPr>
              <w:t xml:space="preserve"> </w:t>
            </w:r>
            <w:proofErr w:type="spellStart"/>
            <w:r w:rsidRPr="00E10812">
              <w:rPr>
                <w:rFonts w:ascii="Times New Roman" w:eastAsia="Times New Roman" w:hAnsi="Times New Roman" w:cs="Times New Roman"/>
                <w:sz w:val="24"/>
                <w:szCs w:val="24"/>
              </w:rPr>
              <w:t>Jr</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60"/>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129000000.0</w:t>
            </w:r>
          </w:p>
        </w:tc>
        <w:tc>
          <w:tcPr>
            <w:tcW w:w="1424" w:type="dxa"/>
            <w:tcBorders>
              <w:left w:val="single" w:sz="4" w:space="0" w:color="auto"/>
            </w:tcBorders>
          </w:tcPr>
          <w:p w:rsidR="00E10812" w:rsidRPr="00E10812" w:rsidRDefault="00E10812" w:rsidP="00E10812">
            <w:pPr>
              <w:spacing w:before="100" w:beforeAutospacing="1" w:after="100" w:afterAutospacing="1"/>
              <w:ind w:left="206"/>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91        </w:t>
            </w:r>
            <w:proofErr w:type="spellStart"/>
            <w:r w:rsidRPr="00E10812">
              <w:rPr>
                <w:rFonts w:ascii="Times New Roman" w:eastAsia="Times New Roman" w:hAnsi="Times New Roman" w:cs="Times New Roman"/>
                <w:sz w:val="24"/>
                <w:szCs w:val="24"/>
              </w:rPr>
              <w:t>91</w:t>
            </w:r>
            <w:proofErr w:type="spellEnd"/>
          </w:p>
        </w:tc>
      </w:tr>
      <w:tr w:rsidR="00E10812" w:rsidRPr="00E10812" w:rsidTr="00E10812">
        <w:tc>
          <w:tcPr>
            <w:tcW w:w="956" w:type="dxa"/>
            <w:tcBorders>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123815</w:t>
            </w:r>
          </w:p>
        </w:tc>
        <w:tc>
          <w:tcPr>
            <w:tcW w:w="1582" w:type="dxa"/>
            <w:tcBorders>
              <w:left w:val="single" w:sz="4" w:space="0" w:color="auto"/>
              <w:right w:val="single" w:sz="4" w:space="0" w:color="auto"/>
            </w:tcBorders>
          </w:tcPr>
          <w:p w:rsidR="00E10812" w:rsidRPr="00E10812" w:rsidRDefault="00E10812" w:rsidP="00083DCC">
            <w:pPr>
              <w:spacing w:before="100" w:beforeAutospacing="1" w:after="100" w:afterAutospacing="1"/>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K. De </w:t>
            </w:r>
            <w:proofErr w:type="spellStart"/>
            <w:r w:rsidRPr="00E10812">
              <w:rPr>
                <w:rFonts w:ascii="Times New Roman" w:eastAsia="Times New Roman" w:hAnsi="Times New Roman" w:cs="Times New Roman"/>
                <w:sz w:val="24"/>
                <w:szCs w:val="24"/>
              </w:rPr>
              <w:t>Bruyne</w:t>
            </w:r>
            <w:proofErr w:type="spellEnd"/>
          </w:p>
        </w:tc>
        <w:tc>
          <w:tcPr>
            <w:tcW w:w="1816" w:type="dxa"/>
            <w:tcBorders>
              <w:left w:val="single" w:sz="4" w:space="0" w:color="auto"/>
              <w:right w:val="single" w:sz="4" w:space="0" w:color="auto"/>
            </w:tcBorders>
          </w:tcPr>
          <w:p w:rsidR="00E10812" w:rsidRPr="00E10812" w:rsidRDefault="00E10812" w:rsidP="00E10812">
            <w:pPr>
              <w:spacing w:before="100" w:beforeAutospacing="1" w:after="100" w:afterAutospacing="1"/>
              <w:ind w:left="99"/>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125500000.0</w:t>
            </w:r>
          </w:p>
        </w:tc>
        <w:tc>
          <w:tcPr>
            <w:tcW w:w="1424" w:type="dxa"/>
            <w:tcBorders>
              <w:left w:val="single" w:sz="4" w:space="0" w:color="auto"/>
            </w:tcBorders>
          </w:tcPr>
          <w:p w:rsidR="00E10812" w:rsidRPr="00E10812" w:rsidRDefault="00E10812" w:rsidP="00E10812">
            <w:pPr>
              <w:spacing w:before="100" w:beforeAutospacing="1" w:after="100" w:afterAutospacing="1"/>
              <w:ind w:left="233"/>
              <w:rPr>
                <w:rFonts w:ascii="Times New Roman" w:eastAsia="Times New Roman" w:hAnsi="Times New Roman" w:cs="Times New Roman"/>
                <w:sz w:val="24"/>
                <w:szCs w:val="24"/>
              </w:rPr>
            </w:pPr>
            <w:r w:rsidRPr="00E10812">
              <w:rPr>
                <w:rFonts w:ascii="Times New Roman" w:eastAsia="Times New Roman" w:hAnsi="Times New Roman" w:cs="Times New Roman"/>
                <w:sz w:val="24"/>
                <w:szCs w:val="24"/>
              </w:rPr>
              <w:t xml:space="preserve">91        </w:t>
            </w:r>
            <w:proofErr w:type="spellStart"/>
            <w:r w:rsidRPr="00E10812">
              <w:rPr>
                <w:rFonts w:ascii="Times New Roman" w:eastAsia="Times New Roman" w:hAnsi="Times New Roman" w:cs="Times New Roman"/>
                <w:sz w:val="24"/>
                <w:szCs w:val="24"/>
              </w:rPr>
              <w:t>91</w:t>
            </w:r>
            <w:proofErr w:type="spellEnd"/>
          </w:p>
        </w:tc>
      </w:tr>
    </w:tbl>
    <w:p w:rsidR="00E10812" w:rsidRPr="00E10812" w:rsidRDefault="00E10812" w:rsidP="00E10812">
      <w:pPr>
        <w:jc w:val="both"/>
        <w:rPr>
          <w:rFonts w:ascii="Times New Roman" w:hAnsi="Times New Roman" w:cs="Times New Roman"/>
          <w:sz w:val="24"/>
          <w:szCs w:val="24"/>
        </w:rPr>
      </w:pPr>
    </w:p>
    <w:p w:rsidR="00E10812" w:rsidRPr="00E10812" w:rsidRDefault="00E10812" w:rsidP="00E10812">
      <w:pPr>
        <w:jc w:val="both"/>
        <w:rPr>
          <w:rFonts w:ascii="Times New Roman" w:hAnsi="Times New Roman" w:cs="Times New Roman"/>
          <w:b/>
          <w:sz w:val="24"/>
          <w:szCs w:val="24"/>
        </w:rPr>
      </w:pPr>
      <w:r w:rsidRPr="00E10812">
        <w:rPr>
          <w:rFonts w:ascii="Times New Roman" w:hAnsi="Times New Roman" w:cs="Times New Roman"/>
          <w:b/>
          <w:sz w:val="24"/>
          <w:szCs w:val="24"/>
        </w:rPr>
        <w:t>Conclusion and Summary</w:t>
      </w: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Project Overview</w:t>
      </w: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This project aimed to analyze the FIFA dataset to gain insights into player attributes, market values, and performance. We used various statistical and machine learning techniques to identify patterns and correlations in the data.</w:t>
      </w:r>
    </w:p>
    <w:p w:rsidR="00E10812" w:rsidRPr="00E10812" w:rsidRDefault="00E10812" w:rsidP="00E10812">
      <w:pPr>
        <w:jc w:val="both"/>
        <w:rPr>
          <w:rFonts w:ascii="Times New Roman" w:hAnsi="Times New Roman" w:cs="Times New Roman"/>
          <w:sz w:val="24"/>
          <w:szCs w:val="24"/>
        </w:rPr>
      </w:pPr>
    </w:p>
    <w:p w:rsidR="00E10812" w:rsidRPr="00E10812" w:rsidRDefault="00E10812" w:rsidP="00E10812">
      <w:pPr>
        <w:jc w:val="both"/>
        <w:rPr>
          <w:rFonts w:ascii="Times New Roman" w:hAnsi="Times New Roman" w:cs="Times New Roman"/>
          <w:b/>
          <w:sz w:val="24"/>
          <w:szCs w:val="24"/>
        </w:rPr>
      </w:pPr>
      <w:r w:rsidRPr="00E10812">
        <w:rPr>
          <w:rFonts w:ascii="Times New Roman" w:hAnsi="Times New Roman" w:cs="Times New Roman"/>
          <w:b/>
          <w:sz w:val="24"/>
          <w:szCs w:val="24"/>
        </w:rPr>
        <w:t>Key Findings</w:t>
      </w:r>
    </w:p>
    <w:p w:rsidR="00E10812" w:rsidRPr="00E10812" w:rsidRDefault="00E10812" w:rsidP="00E10812">
      <w:pPr>
        <w:jc w:val="both"/>
        <w:rPr>
          <w:rFonts w:ascii="Times New Roman" w:hAnsi="Times New Roman" w:cs="Times New Roman"/>
          <w:sz w:val="24"/>
          <w:szCs w:val="24"/>
        </w:rPr>
      </w:pP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Player Attributes and Market Value: We found that attributes like overall rating, potential, pace, shooting, and passing contribute most to player market value.</w:t>
      </w: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 xml:space="preserve">Correlation between Age and Performance: 0.46 </w:t>
      </w:r>
      <w:proofErr w:type="gramStart"/>
      <w:r w:rsidRPr="00E10812">
        <w:rPr>
          <w:rFonts w:ascii="Times New Roman" w:hAnsi="Times New Roman" w:cs="Times New Roman"/>
          <w:sz w:val="24"/>
          <w:szCs w:val="24"/>
        </w:rPr>
        <w:t>We</w:t>
      </w:r>
      <w:proofErr w:type="gramEnd"/>
      <w:r w:rsidRPr="00E10812">
        <w:rPr>
          <w:rFonts w:ascii="Times New Roman" w:hAnsi="Times New Roman" w:cs="Times New Roman"/>
          <w:sz w:val="24"/>
          <w:szCs w:val="24"/>
        </w:rPr>
        <w:t xml:space="preserve"> observed a negative correlation between age and player performance, indicating that younger players tend to perform better.</w:t>
      </w: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Dominant Nationalities: Nationalities like Brazil, Spain, Argentina, and Germany dominate in FIFA rankings, with a high number of top-rated players from these countries.</w:t>
      </w: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Predicting Player Value: We built a linear regression model to predict player market value based on their attributes, achieving a reasonable mean squared error.</w:t>
      </w:r>
    </w:p>
    <w:p w:rsidR="00E10812" w:rsidRPr="00E10812" w:rsidRDefault="00E10812" w:rsidP="00E10812">
      <w:pPr>
        <w:jc w:val="both"/>
        <w:rPr>
          <w:rFonts w:ascii="Times New Roman" w:hAnsi="Times New Roman" w:cs="Times New Roman"/>
          <w:b/>
          <w:sz w:val="24"/>
          <w:szCs w:val="24"/>
        </w:rPr>
      </w:pPr>
      <w:r w:rsidRPr="00E10812">
        <w:rPr>
          <w:rFonts w:ascii="Times New Roman" w:hAnsi="Times New Roman" w:cs="Times New Roman"/>
          <w:b/>
          <w:sz w:val="24"/>
          <w:szCs w:val="24"/>
        </w:rPr>
        <w:t>Implications</w:t>
      </w: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The findings of this project can be useful for:</w:t>
      </w: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Football Clubs: Identifying top talents and making informed decisions about player recruitment and development.</w:t>
      </w:r>
    </w:p>
    <w:p w:rsidR="00E10812"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Scouts: Evaluating player potential and market value to inform scouting decisions.</w:t>
      </w:r>
    </w:p>
    <w:p w:rsidR="00E0312D" w:rsidRPr="00E10812" w:rsidRDefault="00E10812" w:rsidP="00E10812">
      <w:pPr>
        <w:jc w:val="both"/>
        <w:rPr>
          <w:rFonts w:ascii="Times New Roman" w:hAnsi="Times New Roman" w:cs="Times New Roman"/>
          <w:sz w:val="24"/>
          <w:szCs w:val="24"/>
        </w:rPr>
      </w:pPr>
      <w:r w:rsidRPr="00E10812">
        <w:rPr>
          <w:rFonts w:ascii="Times New Roman" w:hAnsi="Times New Roman" w:cs="Times New Roman"/>
          <w:sz w:val="24"/>
          <w:szCs w:val="24"/>
        </w:rPr>
        <w:t>Football Analysts: Understanding the relationships between player attributes and performance to provide insightful analysis.</w:t>
      </w:r>
    </w:p>
    <w:sectPr w:rsidR="00E0312D" w:rsidRPr="00E10812" w:rsidSect="00D55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2F48FF"/>
    <w:multiLevelType w:val="multilevel"/>
    <w:tmpl w:val="4C60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A35BF1"/>
    <w:rsid w:val="00192228"/>
    <w:rsid w:val="00A35BF1"/>
    <w:rsid w:val="00D55330"/>
    <w:rsid w:val="00E0312D"/>
    <w:rsid w:val="00E10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5BF1"/>
    <w:rPr>
      <w:b/>
      <w:bCs/>
    </w:rPr>
  </w:style>
  <w:style w:type="paragraph" w:styleId="BalloonText">
    <w:name w:val="Balloon Text"/>
    <w:basedOn w:val="Normal"/>
    <w:link w:val="BalloonTextChar"/>
    <w:uiPriority w:val="99"/>
    <w:semiHidden/>
    <w:unhideWhenUsed/>
    <w:rsid w:val="00E0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12D"/>
    <w:rPr>
      <w:rFonts w:ascii="Tahoma" w:hAnsi="Tahoma" w:cs="Tahoma"/>
      <w:sz w:val="16"/>
      <w:szCs w:val="16"/>
    </w:rPr>
  </w:style>
  <w:style w:type="character" w:styleId="Emphasis">
    <w:name w:val="Emphasis"/>
    <w:basedOn w:val="DefaultParagraphFont"/>
    <w:uiPriority w:val="20"/>
    <w:qFormat/>
    <w:rsid w:val="00E0312D"/>
    <w:rPr>
      <w:i/>
      <w:iCs/>
    </w:rPr>
  </w:style>
  <w:style w:type="table" w:styleId="TableGrid">
    <w:name w:val="Table Grid"/>
    <w:basedOn w:val="TableNormal"/>
    <w:uiPriority w:val="59"/>
    <w:rsid w:val="00E108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2783060">
      <w:bodyDiv w:val="1"/>
      <w:marLeft w:val="0"/>
      <w:marRight w:val="0"/>
      <w:marTop w:val="0"/>
      <w:marBottom w:val="0"/>
      <w:divBdr>
        <w:top w:val="none" w:sz="0" w:space="0" w:color="auto"/>
        <w:left w:val="none" w:sz="0" w:space="0" w:color="auto"/>
        <w:bottom w:val="none" w:sz="0" w:space="0" w:color="auto"/>
        <w:right w:val="none" w:sz="0" w:space="0" w:color="auto"/>
      </w:divBdr>
    </w:div>
    <w:div w:id="881983905">
      <w:bodyDiv w:val="1"/>
      <w:marLeft w:val="0"/>
      <w:marRight w:val="0"/>
      <w:marTop w:val="0"/>
      <w:marBottom w:val="0"/>
      <w:divBdr>
        <w:top w:val="none" w:sz="0" w:space="0" w:color="auto"/>
        <w:left w:val="none" w:sz="0" w:space="0" w:color="auto"/>
        <w:bottom w:val="none" w:sz="0" w:space="0" w:color="auto"/>
        <w:right w:val="none" w:sz="0" w:space="0" w:color="auto"/>
      </w:divBdr>
    </w:div>
    <w:div w:id="1185250057">
      <w:bodyDiv w:val="1"/>
      <w:marLeft w:val="0"/>
      <w:marRight w:val="0"/>
      <w:marTop w:val="0"/>
      <w:marBottom w:val="0"/>
      <w:divBdr>
        <w:top w:val="none" w:sz="0" w:space="0" w:color="auto"/>
        <w:left w:val="none" w:sz="0" w:space="0" w:color="auto"/>
        <w:bottom w:val="none" w:sz="0" w:space="0" w:color="auto"/>
        <w:right w:val="none" w:sz="0" w:space="0" w:color="auto"/>
      </w:divBdr>
    </w:div>
    <w:div w:id="2093047042">
      <w:bodyDiv w:val="1"/>
      <w:marLeft w:val="0"/>
      <w:marRight w:val="0"/>
      <w:marTop w:val="0"/>
      <w:marBottom w:val="0"/>
      <w:divBdr>
        <w:top w:val="none" w:sz="0" w:space="0" w:color="auto"/>
        <w:left w:val="none" w:sz="0" w:space="0" w:color="auto"/>
        <w:bottom w:val="none" w:sz="0" w:space="0" w:color="auto"/>
        <w:right w:val="none" w:sz="0" w:space="0" w:color="auto"/>
      </w:divBdr>
      <w:divsChild>
        <w:div w:id="404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2025-05-07T08:25:00Z</dcterms:created>
  <dcterms:modified xsi:type="dcterms:W3CDTF">2025-05-07T13:54:00Z</dcterms:modified>
</cp:coreProperties>
</file>