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F172A"/>
          <w:sz w:val="40"/>
          <w:szCs w:val="40"/>
        </w:rPr>
        <w:t xml:space="preserve">FAILURE MODE REGISTRY</w:t>
      </w:r>
    </w:p>
    <w:p>
      <w:pPr>
        <w:spacing w:after="80" w:before="0"/>
      </w:pPr>
      <w:r>
        <w:rPr>
          <w:rFonts w:ascii="Arial" w:cs="Arial" w:eastAsia="Arial" w:hAnsi="Arial"/>
          <w:color w:val="475569"/>
          <w:sz w:val="28"/>
          <w:szCs w:val="28"/>
        </w:rPr>
        <w:t xml:space="preserve">Client Onboarding Workflow</w:t>
      </w:r>
    </w:p>
    <w:p>
      <w:pPr>
        <w:spacing w:after="40" w:before="0"/>
      </w:pPr>
      <w:r>
        <w:rPr>
          <w:rFonts w:ascii="Arial" w:cs="Arial" w:eastAsia="Arial" w:hAnsi="Arial"/>
          <w:color w:val="475569"/>
          <w:sz w:val="20"/>
          <w:szCs w:val="20"/>
        </w:rPr>
        <w:t xml:space="preserve">Prepared by: Adeayo Adewale</w:t>
      </w:r>
    </w:p>
    <w:p>
      <w:pPr>
        <w:pBdr>
          <w:bottom w:val="single" w:color="1D4ED8" w:sz="6" w:space="1"/>
        </w:pBdr>
        <w:spacing w:after="320" w:before="0"/>
      </w:pPr>
      <w:r>
        <w:rPr>
          <w:rFonts w:ascii="Arial" w:cs="Arial" w:eastAsia="Arial" w:hAnsi="Arial"/>
          <w:color w:val="475569"/>
          <w:sz w:val="20"/>
          <w:szCs w:val="20"/>
        </w:rPr>
        <w:t xml:space="preserve">Document 2 of 4</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Overview</w:t>
      </w:r>
    </w:p>
    <w:p>
      <w:pPr>
        <w:spacing w:after="80" w:before="80"/>
        <w:jc w:val="both"/>
      </w:pPr>
      <w:r>
        <w:rPr>
          <w:rFonts w:ascii="Arial" w:cs="Arial" w:eastAsia="Arial" w:hAnsi="Arial"/>
          <w:color w:val="1E293B"/>
          <w:sz w:val="22"/>
          <w:szCs w:val="22"/>
        </w:rPr>
        <w:t xml:space="preserve">This document catalogues every identified failure mode for the Client Onboarding Workflow. Each entry describes how the failure surfaces, its severity, and the resolution steps required. Seventeen failure modes are documented across three categories: security and validation, action module failures, and operational and platform failures.</w:t>
      </w:r>
    </w:p>
    <w:p>
      <w:pPr>
        <w:spacing w:after="80" w:before="80"/>
      </w:pPr>
      <w:r>
        <w:t xml:space="preserve"/>
      </w:r>
    </w:p>
    <w:p>
      <w:pPr>
        <w:spacing w:after="80" w:before="80"/>
        <w:jc w:val="both"/>
      </w:pPr>
      <w:r>
        <w:rPr>
          <w:rFonts w:ascii="Arial" w:cs="Arial" w:eastAsia="Arial" w:hAnsi="Arial"/>
          <w:color w:val="1E293B"/>
          <w:sz w:val="22"/>
          <w:szCs w:val="22"/>
        </w:rPr>
        <w:t xml:space="preserve">Severity ratings are defined as follows: Critical — system stops functioning entirely; High — a client-facing action fails or data is lost; Medium — internal process degrades but client experience is unaffected; Low — minor issue with no downstream consequence.</w:t>
      </w:r>
    </w:p>
    <w:p>
      <w:pPr>
        <w:spacing w:after="80" w:before="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tblGrid>
      <w:tr>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Critical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System stops functioning entirely</w:t>
            </w:r>
          </w:p>
        </w:tc>
      </w:tr>
      <w:tr>
        <w:tc>
          <w:tcPr>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Client-facing action fails or data is lost</w:t>
            </w:r>
          </w:p>
        </w:tc>
      </w:tr>
      <w:tr>
        <w:tc>
          <w:tcPr>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Internal process degrades, client unaffected</w:t>
            </w:r>
          </w:p>
        </w:tc>
      </w:tr>
      <w:tr>
        <w:tc>
          <w:tcPr>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18"/>
                <w:szCs w:val="18"/>
              </w:rPr>
              <w:t xml:space="preserve">Minor issue with no downstream consequence</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Category 1: Security and Validation</w:t>
      </w:r>
    </w:p>
    <w:p>
      <w:pPr>
        <w:spacing w:after="80" w:before="80"/>
        <w:jc w:val="both"/>
      </w:pPr>
      <w:r>
        <w:rPr>
          <w:rFonts w:ascii="Arial" w:cs="Arial" w:eastAsia="Arial" w:hAnsi="Arial"/>
          <w:color w:val="1E293B"/>
          <w:sz w:val="22"/>
          <w:szCs w:val="22"/>
        </w:rPr>
        <w:t xml:space="preserve">These failure modes occur at the entry point of the workflow, before any action is taken. All five are handled by the security and validation filter or by Tally's native duplicate prevention.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800"/>
        <w:gridCol w:w="2400"/>
        <w:gridCol w:w="2960"/>
      </w:tblGrid>
      <w:tr>
        <w:tc>
          <w:tcPr>
            <w:tcW w:type="dxa" w:w="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How It Surfaces</w:t>
            </w:r>
          </w:p>
        </w:tc>
        <w:tc>
          <w:tcPr>
            <w:tcW w:type="dxa" w:w="29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Missing required fields</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intake_validation filter blocks submission before action layer</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Submission stopped. #errors channel notified. Review full submission in Tally Submissions tab.</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Malformed email format</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intake_validation filter blocks submission before action layer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Submission stopped. #errors channel notified. Review full submission in Tally Submissions tab.</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3</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Invalid submission ID</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security_check filter blocks submission. #errors notified with ID and timestamp</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Investigate source of submission. If legitimate, reprocess manually from Incomplete Executions.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Duplicate submission</w:t>
            </w:r>
          </w:p>
        </w:tc>
        <w:tc>
          <w:tcPr>
            <w:tcW w:type="dxa" w:w="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Tally native duplicate prevention blocks at form level. Client sees message on form.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 action required. Tally handles prevention. Client receives on-form notification.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Unauthorized webhook access</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security_check filter blocks submission. #errors notified.</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Review event ID in #errors. If pattern of attempts, consider additional security measures.</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Category 2: Action Module Failures</w:t>
      </w:r>
    </w:p>
    <w:p>
      <w:pPr>
        <w:spacing w:after="80" w:before="80"/>
        <w:jc w:val="both"/>
      </w:pPr>
      <w:r>
        <w:rPr>
          <w:rFonts w:ascii="Arial" w:cs="Arial" w:eastAsia="Arial" w:hAnsi="Arial"/>
          <w:color w:val="1E293B"/>
          <w:sz w:val="22"/>
          <w:szCs w:val="22"/>
        </w:rPr>
        <w:t xml:space="preserve">These failure modes occur after a submission passes validation and enters the action layer. All are caught by Break error handlers that route failed executions to Incomplete Executions for manual review and reprocessing.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800"/>
        <w:gridCol w:w="2400"/>
        <w:gridCol w:w="2960"/>
      </w:tblGrid>
      <w:tr>
        <w:tc>
          <w:tcPr>
            <w:tcW w:type="dxa" w:w="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How It Surfaces</w:t>
            </w:r>
          </w:p>
        </w:tc>
        <w:tc>
          <w:tcPr>
            <w:tcW w:type="dxa" w:w="29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Drive folder creation fails</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Break handler routes execution to Incomplete Executions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Check Google Drive connection and permissions in Make credentials. Reprocess from Incomplete Executions.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Gmail send fails</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Break handler routes execution to Incomplete Executions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Check Gmail connection in Make credentials. Reprocess from Incomplete Executions.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Gmail OAuth token expires</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Gmail module fails on next execution. No proactive alert.</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Reauthorize Gmail connection in Make Credentials section. All queued executions will resume.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ClickUp task creation fails</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Break handler routes execution to Incomplete Executions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Check ClickUp connection in Make credentials. Reprocess from Incomplete Executions.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Slack #onboarding notification fails</w:t>
            </w:r>
          </w:p>
        </w:tc>
        <w:tc>
          <w:tcPr>
            <w:tcW w:type="dxa" w:w="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Low</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Break handler routes execution to Incomplete Executions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Check Slack bot permissions in #onboarding. Confirm Make bot is invited to channel.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Slack #errors notification fails</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 notification produced. Silent failure on error route.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Check Slack bot permissions in #errors. Confirm Make bot is invited to channel. Test manually.</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Category 3: Operational and Platform Failures</w:t>
      </w:r>
    </w:p>
    <w:p>
      <w:pPr>
        <w:spacing w:after="80" w:before="80"/>
        <w:jc w:val="both"/>
      </w:pPr>
      <w:r>
        <w:rPr>
          <w:rFonts w:ascii="Arial" w:cs="Arial" w:eastAsia="Arial" w:hAnsi="Arial"/>
          <w:color w:val="1E293B"/>
          <w:sz w:val="22"/>
          <w:szCs w:val="22"/>
        </w:rPr>
        <w:t xml:space="preserve">These failure modes are not triggered by individual submissions. They affect the system's ability to operate at all, or the quality of the client experience it delivers. Some require periodic human checks. Some are resolved by platform configuration. One is an ongoing design discipline.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800"/>
        <w:gridCol w:w="2400"/>
        <w:gridCol w:w="2960"/>
      </w:tblGrid>
      <w:tr>
        <w:tc>
          <w:tcPr>
            <w:tcW w:type="dxa" w:w="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Failure Mode</w:t>
            </w:r>
          </w:p>
        </w:tc>
        <w:tc>
          <w:tcPr>
            <w:tcW w:type="dxa" w:w="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How It Surfaces</w:t>
            </w:r>
          </w:p>
        </w:tc>
        <w:tc>
          <w:tcPr>
            <w:tcW w:type="dxa" w:w="29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12</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Scenario deactivated accidentally</w:t>
            </w:r>
          </w:p>
        </w:tc>
        <w:tc>
          <w:tcPr>
            <w:tcW w:type="dxa" w:w="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Critical</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All submissions silently ignored. No error, no notification.</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Check Make scenario active status weekly. Reactivate immediately if found inactive.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Operation limit reached</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Scenario stops processing when monthly limit is exhausted.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Monitor Make usage dashboard. Upgrade plan before limit is reached for high-volume months.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Tally form unpublished accidentally</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Webhook stops firing. Submissions drop with no error.</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Check Tally form published status if submission volume drops unexpectedly. Republish if needed.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OAuth token expires</w:t>
            </w:r>
          </w:p>
        </w:tc>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Google Drive and Gmail modules fail on next execution.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Reauthorize Google connection in Make Credentials. One-time fix restores both Drive and Gmail.</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16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Automation feels automated</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Client trust erodes before relationship begins. Subtle and hard to detect.</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Review all client-facing messages quarterly. Test against one question: would a real person send this?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ClickUp task unassigned</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Follow-up task created but invisible. Client falls through.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Confirmed resolved. Assignee configured in ClickUp module. Verify on new task creation periodically.</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Summary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Security and 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Action Module Failures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Operational and Platform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6</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Total</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17</w:t>
            </w:r>
          </w:p>
        </w:tc>
      </w:tr>
    </w:tbl>
    <w:p>
      <w:pPr>
        <w:spacing w:after="80" w:before="80"/>
      </w:pPr>
      <w:r>
        <w:t xml:space="preserve"/>
      </w:r>
    </w:p>
    <w:p>
      <w:pPr>
        <w:spacing w:after="80" w:before="80"/>
      </w:pPr>
      <w:r>
        <w:t xml:space="preserve"/>
      </w:r>
    </w:p>
    <w:p>
      <w:pPr>
        <w:pBdr>
          <w:top w:val="single" w:color="E2E8F0" w:sz="4" w:space="1"/>
        </w:pBdr>
        <w:spacing w:before="200"/>
        <w:jc w:val="center"/>
      </w:pPr>
      <w:r>
        <w:rPr>
          <w:rFonts w:ascii="Arial" w:cs="Arial" w:eastAsia="Arial" w:hAnsi="Arial"/>
          <w:color w:val="94A3B8"/>
          <w:sz w:val="18"/>
          <w:szCs w:val="18"/>
        </w:rPr>
        <w:t xml:space="preserve">Project 2 of 2  |  AI Automation Portfolio  |  Adeayo Adewale</w:t>
      </w:r>
    </w:p>
    <w:sectPr>
      <w:pgSz w:w="15840" w:h="122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2026-05-02T08:10:22.971Z</dcterms:created>
  <dcterms:modified xsi:type="dcterms:W3CDTF">2026-05-02T08:10:22.989Z</dcterms:modified>
</cp:coreProperties>
</file>

<file path=docProps/custom.xml><?xml version="1.0" encoding="utf-8"?>
<Properties xmlns="http://schemas.openxmlformats.org/officeDocument/2006/custom-properties" xmlns:vt="http://schemas.openxmlformats.org/officeDocument/2006/docPropsVTypes"/>
</file>