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color w:val="0F172A"/>
          <w:sz w:val="40"/>
          <w:szCs w:val="40"/>
        </w:rPr>
        <w:t xml:space="preserve">SYSTEM ARCHITECTURE</w:t>
      </w:r>
    </w:p>
    <w:p>
      <w:pPr>
        <w:spacing w:after="80" w:before="0"/>
      </w:pPr>
      <w:r>
        <w:rPr>
          <w:rFonts w:ascii="Arial" w:cs="Arial" w:eastAsia="Arial" w:hAnsi="Arial"/>
          <w:color w:val="475569"/>
          <w:sz w:val="28"/>
          <w:szCs w:val="28"/>
        </w:rPr>
        <w:t xml:space="preserve">Client Onboarding Workflow</w:t>
      </w:r>
    </w:p>
    <w:p>
      <w:pPr>
        <w:spacing w:after="40" w:before="0"/>
      </w:pPr>
      <w:r>
        <w:rPr>
          <w:rFonts w:ascii="Arial" w:cs="Arial" w:eastAsia="Arial" w:hAnsi="Arial"/>
          <w:color w:val="475569"/>
          <w:sz w:val="20"/>
          <w:szCs w:val="20"/>
        </w:rPr>
        <w:t xml:space="preserve">Prepared by: Adeayo Adewale</w:t>
      </w:r>
    </w:p>
    <w:p>
      <w:pPr>
        <w:pBdr>
          <w:bottom w:val="single" w:color="1D4ED8" w:sz="6" w:space="1"/>
        </w:pBdr>
        <w:spacing w:after="320" w:before="0"/>
      </w:pPr>
      <w:r>
        <w:rPr>
          <w:rFonts w:ascii="Arial" w:cs="Arial" w:eastAsia="Arial" w:hAnsi="Arial"/>
          <w:color w:val="475569"/>
          <w:sz w:val="20"/>
          <w:szCs w:val="20"/>
        </w:rPr>
        <w:t xml:space="preserve">Document 1 of 4</w:t>
      </w:r>
    </w:p>
    <w:p>
      <w:pPr>
        <w:spacing w:after="80" w:before="80"/>
      </w:pPr>
      <w:r>
        <w:t xml:space="preserve"/>
      </w:r>
    </w:p>
    <w:p>
      <w:pPr>
        <w:pStyle w:val="Heading1"/>
        <w:pBdr>
          <w:bottom w:val="single" w:color="1D4ED8" w:sz="6" w:space="1"/>
        </w:pBdr>
        <w:spacing w:after="160" w:before="360"/>
      </w:pPr>
      <w:r>
        <w:rPr>
          <w:rFonts w:ascii="Arial" w:cs="Arial" w:eastAsia="Arial" w:hAnsi="Arial"/>
          <w:b/>
          <w:bCs/>
          <w:color w:val="0F172A"/>
          <w:sz w:val="32"/>
          <w:szCs w:val="32"/>
        </w:rPr>
        <w:t xml:space="preserve">Overview</w:t>
      </w:r>
    </w:p>
    <w:p>
      <w:pPr>
        <w:spacing w:after="80" w:before="80"/>
        <w:jc w:val="both"/>
      </w:pPr>
      <w:r>
        <w:rPr>
          <w:rFonts w:ascii="Arial" w:cs="Arial" w:eastAsia="Arial" w:hAnsi="Arial"/>
          <w:color w:val="1E293B"/>
          <w:sz w:val="22"/>
          <w:szCs w:val="22"/>
        </w:rPr>
        <w:t xml:space="preserve">This document describes the architecture of your automated client onboarding system. It covers what the system does, how it is structured, the decisions behind that structure, and the constraints you should be aware of as an operator.</w:t>
      </w:r>
    </w:p>
    <w:p>
      <w:pPr>
        <w:spacing w:after="80" w:before="80"/>
      </w:pPr>
      <w:r>
        <w:t xml:space="preserve"/>
      </w:r>
    </w:p>
    <w:p>
      <w:pPr>
        <w:spacing w:after="80" w:before="80"/>
        <w:jc w:val="both"/>
      </w:pPr>
      <w:r>
        <w:rPr>
          <w:rFonts w:ascii="Arial" w:cs="Arial" w:eastAsia="Arial" w:hAnsi="Arial"/>
          <w:color w:val="1E293B"/>
          <w:sz w:val="22"/>
          <w:szCs w:val="22"/>
        </w:rPr>
        <w:t xml:space="preserve">The system was built to do one thing reliably: ensure that every client who submits your onboarding form receives an immediate, professional response and that the right internal actions happen without manual intervention.</w:t>
      </w:r>
    </w:p>
    <w:p>
      <w:pPr>
        <w:spacing w:after="80" w:before="80"/>
      </w:pPr>
      <w:r>
        <w:t xml:space="preserve"/>
      </w:r>
    </w:p>
    <w:p>
      <w:pPr>
        <w:pStyle w:val="Heading1"/>
        <w:pBdr>
          <w:bottom w:val="single" w:color="1D4ED8" w:sz="6" w:space="1"/>
        </w:pBdr>
        <w:spacing w:after="160" w:before="360"/>
      </w:pPr>
      <w:r>
        <w:rPr>
          <w:rFonts w:ascii="Arial" w:cs="Arial" w:eastAsia="Arial" w:hAnsi="Arial"/>
          <w:b/>
          <w:bCs/>
          <w:color w:val="0F172A"/>
          <w:sz w:val="32"/>
          <w:szCs w:val="32"/>
        </w:rPr>
        <w:t xml:space="preserve">What the System Does</w:t>
      </w:r>
    </w:p>
    <w:p>
      <w:pPr>
        <w:spacing w:after="80" w:before="80"/>
        <w:jc w:val="both"/>
      </w:pPr>
      <w:r>
        <w:rPr>
          <w:rFonts w:ascii="Arial" w:cs="Arial" w:eastAsia="Arial" w:hAnsi="Arial"/>
          <w:color w:val="1E293B"/>
          <w:sz w:val="22"/>
          <w:szCs w:val="22"/>
        </w:rPr>
        <w:t xml:space="preserve">When a prospect submits the Client Onboarding Form, the system executes four actions automatically and in sequence.</w:t>
      </w:r>
    </w:p>
    <w:p>
      <w:pPr>
        <w:spacing w:after="80" w:before="80"/>
      </w:pPr>
      <w:r>
        <w:t xml:space="preserve"/>
      </w:r>
    </w:p>
    <w:p>
      <w:pPr>
        <w:spacing w:after="80" w:before="80"/>
        <w:jc w:val="both"/>
      </w:pPr>
      <w:r>
        <w:rPr>
          <w:rFonts w:ascii="Arial" w:cs="Arial" w:eastAsia="Arial" w:hAnsi="Arial"/>
          <w:color w:val="1E293B"/>
          <w:sz w:val="22"/>
          <w:szCs w:val="22"/>
        </w:rPr>
        <w:t xml:space="preserve">It creates a named client folder in Google Drive under the Clients directory, formatted as ClientName_CompanyName_YYYY-MM for easy sorting and retrieval.</w:t>
      </w:r>
    </w:p>
    <w:p>
      <w:pPr>
        <w:spacing w:after="80" w:before="80"/>
      </w:pPr>
      <w:r>
        <w:t xml:space="preserve"/>
      </w:r>
    </w:p>
    <w:p>
      <w:pPr>
        <w:spacing w:after="80" w:before="80"/>
        <w:jc w:val="both"/>
      </w:pPr>
      <w:r>
        <w:rPr>
          <w:rFonts w:ascii="Arial" w:cs="Arial" w:eastAsia="Arial" w:hAnsi="Arial"/>
          <w:color w:val="1E293B"/>
          <w:sz w:val="22"/>
          <w:szCs w:val="22"/>
        </w:rPr>
        <w:t xml:space="preserve">It sends a personalized welcome email to the client's submitted email address, referencing their name and selected project type. The email is written to feel personal rather than automated.</w:t>
      </w:r>
    </w:p>
    <w:p>
      <w:pPr>
        <w:spacing w:after="80" w:before="80"/>
      </w:pPr>
      <w:r>
        <w:t xml:space="preserve"/>
      </w:r>
    </w:p>
    <w:p>
      <w:pPr>
        <w:spacing w:after="80" w:before="80"/>
        <w:jc w:val="both"/>
      </w:pPr>
      <w:r>
        <w:rPr>
          <w:rFonts w:ascii="Arial" w:cs="Arial" w:eastAsia="Arial" w:hAnsi="Arial"/>
          <w:color w:val="1E293B"/>
          <w:sz w:val="22"/>
          <w:szCs w:val="22"/>
        </w:rPr>
        <w:t xml:space="preserve">It creates a task in ClickUp under the Client Onboarding list, populated with the client's full details, assigned to you, and due the following day. This enforces the 24-hour follow-up commitment made in the welcome email.</w:t>
      </w:r>
    </w:p>
    <w:p>
      <w:pPr>
        <w:spacing w:after="80" w:before="80"/>
      </w:pPr>
      <w:r>
        <w:t xml:space="preserve"/>
      </w:r>
    </w:p>
    <w:p>
      <w:pPr>
        <w:spacing w:after="80" w:before="80"/>
        <w:jc w:val="both"/>
      </w:pPr>
      <w:r>
        <w:rPr>
          <w:rFonts w:ascii="Arial" w:cs="Arial" w:eastAsia="Arial" w:hAnsi="Arial"/>
          <w:color w:val="1E293B"/>
          <w:sz w:val="22"/>
          <w:szCs w:val="22"/>
        </w:rPr>
        <w:t xml:space="preserve">It sends an internal notification to the #onboarding Slack channel confirming that all three upstream actions completed successfully.</w:t>
      </w:r>
    </w:p>
    <w:p>
      <w:pPr>
        <w:spacing w:after="80" w:before="80"/>
      </w:pPr>
      <w:r>
        <w:t xml:space="preserve"/>
      </w:r>
    </w:p>
    <w:p>
      <w:pPr>
        <w:spacing w:after="80" w:before="80"/>
        <w:jc w:val="both"/>
      </w:pPr>
      <w:r>
        <w:rPr>
          <w:rFonts w:ascii="Arial" w:cs="Arial" w:eastAsia="Arial" w:hAnsi="Arial"/>
          <w:color w:val="1E293B"/>
          <w:sz w:val="22"/>
          <w:szCs w:val="22"/>
        </w:rPr>
        <w:t xml:space="preserve">The entire sequence executes within seconds of form submission.</w:t>
      </w:r>
    </w:p>
    <w:p>
      <w:pPr>
        <w:spacing w:after="80" w:before="80"/>
      </w:pPr>
      <w:r>
        <w:t xml:space="preserve"/>
      </w:r>
    </w:p>
    <w:p>
      <w:pPr>
        <w:pStyle w:val="Heading1"/>
        <w:pBdr>
          <w:bottom w:val="single" w:color="1D4ED8" w:sz="6" w:space="1"/>
        </w:pBdr>
        <w:spacing w:after="160" w:before="360"/>
      </w:pPr>
      <w:r>
        <w:rPr>
          <w:rFonts w:ascii="Arial" w:cs="Arial" w:eastAsia="Arial" w:hAnsi="Arial"/>
          <w:b/>
          <w:bCs/>
          <w:color w:val="0F172A"/>
          <w:sz w:val="32"/>
          <w:szCs w:val="32"/>
        </w:rPr>
        <w:t xml:space="preserve">Architecture Decisions</w:t>
      </w:r>
    </w:p>
    <w:p>
      <w:pPr>
        <w:pStyle w:val="Heading2"/>
        <w:spacing w:after="120" w:before="280"/>
      </w:pPr>
      <w:r>
        <w:rPr>
          <w:rFonts w:ascii="Arial" w:cs="Arial" w:eastAsia="Arial" w:hAnsi="Arial"/>
          <w:b/>
          <w:bCs/>
          <w:color w:val="1D4ED8"/>
          <w:sz w:val="26"/>
          <w:szCs w:val="26"/>
        </w:rPr>
        <w:t xml:space="preserve">Normalization Layer</w:t>
      </w:r>
    </w:p>
    <w:p>
      <w:pPr>
        <w:spacing w:after="80" w:before="80"/>
        <w:jc w:val="both"/>
      </w:pPr>
      <w:r>
        <w:rPr>
          <w:rFonts w:ascii="Arial" w:cs="Arial" w:eastAsia="Arial" w:hAnsi="Arial"/>
          <w:color w:val="1E293B"/>
          <w:sz w:val="22"/>
          <w:szCs w:val="22"/>
        </w:rPr>
        <w:t xml:space="preserve">Raw form data is never passed directly to downstream modules. Instead, a dedicated normalization module converts the incoming payload into ten clean, consistently named variables. These variables are the only data source for Google Drive, Gmail, ClickUp, and Slack.</w:t>
      </w:r>
    </w:p>
    <w:p>
      <w:pPr>
        <w:spacing w:after="80" w:before="80"/>
      </w:pPr>
      <w:r>
        <w:t xml:space="preserve"/>
      </w:r>
    </w:p>
    <w:p>
      <w:pPr>
        <w:spacing w:after="80" w:before="80"/>
        <w:jc w:val="both"/>
      </w:pPr>
      <w:r>
        <w:rPr>
          <w:rFonts w:ascii="Arial" w:cs="Arial" w:eastAsia="Arial" w:hAnsi="Arial"/>
          <w:color w:val="1E293B"/>
          <w:sz w:val="22"/>
          <w:szCs w:val="22"/>
        </w:rPr>
        <w:t xml:space="preserve">This decision means that if Tally changes its field naming, or a second trigger source is added in the future, only the normalization layer requires updating. No downstream module breaks.</w:t>
      </w:r>
    </w:p>
    <w:p>
      <w:pPr>
        <w:pStyle w:val="Heading2"/>
        <w:spacing w:after="120" w:before="280"/>
      </w:pPr>
      <w:r>
        <w:rPr>
          <w:rFonts w:ascii="Arial" w:cs="Arial" w:eastAsia="Arial" w:hAnsi="Arial"/>
          <w:b/>
          <w:bCs/>
          <w:color w:val="1D4ED8"/>
          <w:sz w:val="26"/>
          <w:szCs w:val="26"/>
        </w:rPr>
        <w:t xml:space="preserve">Single Source of Truth</w:t>
      </w:r>
    </w:p>
    <w:p>
      <w:pPr>
        <w:spacing w:after="80" w:before="80"/>
        <w:jc w:val="both"/>
      </w:pPr>
      <w:r>
        <w:rPr>
          <w:rFonts w:ascii="Arial" w:cs="Arial" w:eastAsia="Arial" w:hAnsi="Arial"/>
          <w:color w:val="1E293B"/>
          <w:sz w:val="22"/>
          <w:szCs w:val="22"/>
        </w:rPr>
        <w:t xml:space="preserve">All client data flows through one normalized variable set. This eliminates the risk of inconsistent data appearing across tools, where a name might display differently in Drive versus ClickUp due to different field references.</w:t>
      </w:r>
    </w:p>
    <w:p>
      <w:pPr>
        <w:pStyle w:val="Heading2"/>
        <w:spacing w:after="120" w:before="280"/>
      </w:pPr>
      <w:r>
        <w:rPr>
          <w:rFonts w:ascii="Arial" w:cs="Arial" w:eastAsia="Arial" w:hAnsi="Arial"/>
          <w:b/>
          <w:bCs/>
          <w:color w:val="1D4ED8"/>
          <w:sz w:val="26"/>
          <w:szCs w:val="26"/>
        </w:rPr>
        <w:t xml:space="preserve">Human-First Communication Design</w:t>
      </w:r>
    </w:p>
    <w:p>
      <w:pPr>
        <w:spacing w:after="80" w:before="80"/>
        <w:jc w:val="both"/>
      </w:pPr>
      <w:r>
        <w:rPr>
          <w:rFonts w:ascii="Arial" w:cs="Arial" w:eastAsia="Arial" w:hAnsi="Arial"/>
          <w:color w:val="1E293B"/>
          <w:sz w:val="22"/>
          <w:szCs w:val="22"/>
        </w:rPr>
        <w:t xml:space="preserve">The welcome email uses the client's first name only, a conversational tone, and a specific reference to their selected project type. This is a deliberate design choice. Automated emails that feel automated create distance before the relationship begins. Every client-facing output was tested against one question: would a real person send this exact message?</w:t>
      </w:r>
    </w:p>
    <w:p>
      <w:pPr>
        <w:pStyle w:val="Heading2"/>
        <w:spacing w:after="120" w:before="280"/>
      </w:pPr>
      <w:r>
        <w:rPr>
          <w:rFonts w:ascii="Arial" w:cs="Arial" w:eastAsia="Arial" w:hAnsi="Arial"/>
          <w:b/>
          <w:bCs/>
          <w:color w:val="1D4ED8"/>
          <w:sz w:val="26"/>
          <w:szCs w:val="26"/>
        </w:rPr>
        <w:t xml:space="preserve">Defensive Validation</w:t>
      </w:r>
    </w:p>
    <w:p>
      <w:pPr>
        <w:spacing w:after="80" w:before="80"/>
        <w:jc w:val="both"/>
      </w:pPr>
      <w:r>
        <w:rPr>
          <w:rFonts w:ascii="Arial" w:cs="Arial" w:eastAsia="Arial" w:hAnsi="Arial"/>
          <w:color w:val="1E293B"/>
          <w:sz w:val="22"/>
          <w:szCs w:val="22"/>
        </w:rPr>
        <w:t xml:space="preserve">Every submission passes through a security and validation filter before any action is taken. The filter checks that the submission ID matches the expected pattern, that required fields are present, and that the email address is correctly formatted. Submissions that fail any condition are stopped before reaching the action layer.</w:t>
      </w:r>
    </w:p>
    <w:p>
      <w:pPr>
        <w:pStyle w:val="Heading2"/>
        <w:spacing w:after="120" w:before="280"/>
      </w:pPr>
      <w:r>
        <w:rPr>
          <w:rFonts w:ascii="Arial" w:cs="Arial" w:eastAsia="Arial" w:hAnsi="Arial"/>
          <w:b/>
          <w:bCs/>
          <w:color w:val="1D4ED8"/>
          <w:sz w:val="26"/>
          <w:szCs w:val="26"/>
        </w:rPr>
        <w:t xml:space="preserve">Duplicate Prevention</w:t>
      </w:r>
    </w:p>
    <w:p>
      <w:pPr>
        <w:spacing w:after="80" w:before="80"/>
        <w:jc w:val="both"/>
      </w:pPr>
      <w:r>
        <w:rPr>
          <w:rFonts w:ascii="Arial" w:cs="Arial" w:eastAsia="Arial" w:hAnsi="Arial"/>
          <w:color w:val="1E293B"/>
          <w:sz w:val="22"/>
          <w:szCs w:val="22"/>
        </w:rPr>
        <w:t xml:space="preserve">Tally's native duplicate prevention is configured to use email address as the unique identifier. This is handled at the platform level rather than through a Make filter, making it more reliable and less prone to misconfiguration.</w:t>
      </w:r>
    </w:p>
    <w:p>
      <w:pPr>
        <w:pStyle w:val="Heading2"/>
        <w:spacing w:after="120" w:before="280"/>
      </w:pPr>
      <w:r>
        <w:rPr>
          <w:rFonts w:ascii="Arial" w:cs="Arial" w:eastAsia="Arial" w:hAnsi="Arial"/>
          <w:b/>
          <w:bCs/>
          <w:color w:val="1D4ED8"/>
          <w:sz w:val="26"/>
          <w:szCs w:val="26"/>
        </w:rPr>
        <w:t xml:space="preserve">Error Containment</w:t>
      </w:r>
    </w:p>
    <w:p>
      <w:pPr>
        <w:spacing w:after="80" w:before="80"/>
        <w:jc w:val="both"/>
      </w:pPr>
      <w:r>
        <w:rPr>
          <w:rFonts w:ascii="Arial" w:cs="Arial" w:eastAsia="Arial" w:hAnsi="Arial"/>
          <w:color w:val="1E293B"/>
          <w:sz w:val="22"/>
          <w:szCs w:val="22"/>
        </w:rPr>
        <w:t xml:space="preserve">All four action modules carry Break error handlers routing failures to Incomplete Executions. A failure in any single module stops that execution and preserves the data for manual review and reprocessing. Nothing fails silently.</w:t>
      </w:r>
    </w:p>
    <w:p>
      <w:pPr>
        <w:pStyle w:val="Heading2"/>
        <w:spacing w:after="120" w:before="280"/>
      </w:pPr>
      <w:r>
        <w:rPr>
          <w:rFonts w:ascii="Arial" w:cs="Arial" w:eastAsia="Arial" w:hAnsi="Arial"/>
          <w:b/>
          <w:bCs/>
          <w:color w:val="1D4ED8"/>
          <w:sz w:val="26"/>
          <w:szCs w:val="26"/>
        </w:rPr>
        <w:t xml:space="preserve">Error Notification on Blocked Submissions</w:t>
      </w:r>
    </w:p>
    <w:p>
      <w:pPr>
        <w:spacing w:after="80" w:before="80"/>
        <w:jc w:val="both"/>
      </w:pPr>
      <w:r>
        <w:rPr>
          <w:rFonts w:ascii="Arial" w:cs="Arial" w:eastAsia="Arial" w:hAnsi="Arial"/>
          <w:color w:val="1E293B"/>
          <w:sz w:val="22"/>
          <w:szCs w:val="22"/>
        </w:rPr>
        <w:t xml:space="preserve">When a submission fails the security and validation filter, it does not disappear silently. A fallback route on the router captures every blocked submission and sends an immediate notification to the #errors Slack channel with the submission ID, form name, timestamp, and event ID. This gives the operator enough detail to investigate whether a legitimate submission was incorrectly blocked and reprocess it manually if needed.</w:t>
      </w:r>
    </w:p>
    <w:p>
      <w:pPr>
        <w:spacing w:after="80" w:before="80"/>
      </w:pPr>
      <w:r>
        <w:t xml:space="preserve"/>
      </w:r>
    </w:p>
    <w:p>
      <w:pPr>
        <w:pStyle w:val="Heading1"/>
        <w:pBdr>
          <w:bottom w:val="single" w:color="1D4ED8" w:sz="6" w:space="1"/>
        </w:pBdr>
        <w:spacing w:after="160" w:before="360"/>
      </w:pPr>
      <w:r>
        <w:rPr>
          <w:rFonts w:ascii="Arial" w:cs="Arial" w:eastAsia="Arial" w:hAnsi="Arial"/>
          <w:b/>
          <w:bCs/>
          <w:color w:val="0F172A"/>
          <w:sz w:val="32"/>
          <w:szCs w:val="32"/>
        </w:rPr>
        <w:t xml:space="preserve">Platform Constraints and Compensating Controls</w:t>
      </w:r>
    </w:p>
    <w:p>
      <w:pPr>
        <w:pStyle w:val="Heading2"/>
        <w:spacing w:after="120" w:before="280"/>
      </w:pPr>
      <w:r>
        <w:rPr>
          <w:rFonts w:ascii="Arial" w:cs="Arial" w:eastAsia="Arial" w:hAnsi="Arial"/>
          <w:b/>
          <w:bCs/>
          <w:color w:val="1D4ED8"/>
          <w:sz w:val="26"/>
          <w:szCs w:val="26"/>
        </w:rPr>
        <w:t xml:space="preserve">Tally Webhook Headers</w:t>
      </w:r>
    </w:p>
    <w:p>
      <w:pPr>
        <w:spacing w:after="80" w:before="80"/>
        <w:jc w:val="both"/>
      </w:pPr>
      <w:r>
        <w:rPr>
          <w:rFonts w:ascii="Arial" w:cs="Arial" w:eastAsia="Arial" w:hAnsi="Arial"/>
          <w:color w:val="1E293B"/>
          <w:sz w:val="22"/>
          <w:szCs w:val="22"/>
        </w:rPr>
        <w:t xml:space="preserve">Make's native Tally module does not expose custom webhook headers. A token-based security check of the kind used in header-capable webhook configurations is therefore not available for this trigger. The compensating controls are submission ID pattern validation, required field checks, and email format validation, applied at the filter layer before any action executes.</w:t>
      </w:r>
    </w:p>
    <w:p>
      <w:pPr>
        <w:pStyle w:val="Heading2"/>
        <w:spacing w:after="120" w:before="280"/>
      </w:pPr>
      <w:r>
        <w:rPr>
          <w:rFonts w:ascii="Arial" w:cs="Arial" w:eastAsia="Arial" w:hAnsi="Arial"/>
          <w:b/>
          <w:bCs/>
          <w:color w:val="1D4ED8"/>
          <w:sz w:val="26"/>
          <w:szCs w:val="26"/>
        </w:rPr>
        <w:t xml:space="preserve">Google OAuth Configuration</w:t>
      </w:r>
    </w:p>
    <w:p>
      <w:pPr>
        <w:spacing w:after="80" w:before="80"/>
        <w:jc w:val="both"/>
      </w:pPr>
      <w:r>
        <w:rPr>
          <w:rFonts w:ascii="Arial" w:cs="Arial" w:eastAsia="Arial" w:hAnsi="Arial"/>
          <w:color w:val="1E293B"/>
          <w:sz w:val="22"/>
          <w:szCs w:val="22"/>
        </w:rPr>
        <w:t xml:space="preserve">Connecting Google Drive to Make using a personal Gmail account requires a custom OAuth client configured in Google Cloud Platform. This is a one-time setup. The OAuth client is now configured and covers all Google services including Drive, Sheets, Gmail, and Calendar, meaning future projects requiring any Google integration will not require this setup again.</w:t>
      </w:r>
    </w:p>
    <w:p>
      <w:pPr>
        <w:pStyle w:val="Heading2"/>
        <w:spacing w:after="120" w:before="280"/>
      </w:pPr>
      <w:r>
        <w:rPr>
          <w:rFonts w:ascii="Arial" w:cs="Arial" w:eastAsia="Arial" w:hAnsi="Arial"/>
          <w:b/>
          <w:bCs/>
          <w:color w:val="1D4ED8"/>
          <w:sz w:val="26"/>
          <w:szCs w:val="26"/>
        </w:rPr>
        <w:t xml:space="preserve">Free Plan Execution</w:t>
      </w:r>
    </w:p>
    <w:p>
      <w:pPr>
        <w:spacing w:after="80" w:before="80"/>
        <w:jc w:val="both"/>
      </w:pPr>
      <w:r>
        <w:rPr>
          <w:rFonts w:ascii="Arial" w:cs="Arial" w:eastAsia="Arial" w:hAnsi="Arial"/>
          <w:color w:val="1E293B"/>
          <w:sz w:val="22"/>
          <w:szCs w:val="22"/>
        </w:rPr>
        <w:t xml:space="preserve">The system runs on Make's free plan. Under normal conditions, instant trigger scenarios fire within seconds of form submission. During periods of high platform load, minor delays may occur. For higher-volume operations, upgrading to a paid Make plan removes this constraint.</w:t>
      </w:r>
    </w:p>
    <w:p>
      <w:pPr>
        <w:pStyle w:val="Heading2"/>
        <w:spacing w:after="120" w:before="280"/>
      </w:pPr>
      <w:r>
        <w:rPr>
          <w:rFonts w:ascii="Arial" w:cs="Arial" w:eastAsia="Arial" w:hAnsi="Arial"/>
          <w:b/>
          <w:bCs/>
          <w:color w:val="1D4ED8"/>
          <w:sz w:val="26"/>
          <w:szCs w:val="26"/>
        </w:rPr>
        <w:t xml:space="preserve">Stripe Integration</w:t>
      </w:r>
    </w:p>
    <w:p>
      <w:pPr>
        <w:spacing w:after="80" w:before="80"/>
        <w:jc w:val="both"/>
      </w:pPr>
      <w:r>
        <w:rPr>
          <w:rFonts w:ascii="Arial" w:cs="Arial" w:eastAsia="Arial" w:hAnsi="Arial"/>
          <w:color w:val="1E293B"/>
          <w:sz w:val="22"/>
          <w:szCs w:val="22"/>
        </w:rPr>
        <w:t xml:space="preserve">The system architecture was designed from the outset to support a second trigger source, a Stripe payment webhook, alongside the Tally form. The normalization layer includes a source variable that identifies where each submission originated. Adding Stripe as a trigger requires connecting the Stripe module, mapping its payload to the existing normalized variables, and setting the source variable to stripe. No downstream modules require changes.</w:t>
      </w:r>
    </w:p>
    <w:p>
      <w:pPr>
        <w:spacing w:after="80" w:before="80"/>
      </w:pPr>
      <w:r>
        <w:t xml:space="preserve"/>
      </w:r>
    </w:p>
    <w:p>
      <w:pPr>
        <w:pStyle w:val="Heading1"/>
        <w:pBdr>
          <w:bottom w:val="single" w:color="1D4ED8" w:sz="6" w:space="1"/>
        </w:pBdr>
        <w:spacing w:after="160" w:before="360"/>
      </w:pPr>
      <w:r>
        <w:rPr>
          <w:rFonts w:ascii="Arial" w:cs="Arial" w:eastAsia="Arial" w:hAnsi="Arial"/>
          <w:b/>
          <w:bCs/>
          <w:color w:val="0F172A"/>
          <w:sz w:val="32"/>
          <w:szCs w:val="32"/>
        </w:rPr>
        <w:t xml:space="preserve">Business Outcomes</w:t>
      </w:r>
    </w:p>
    <w:p>
      <w:pPr>
        <w:spacing w:after="80" w:before="80"/>
        <w:jc w:val="both"/>
      </w:pPr>
      <w:r>
        <w:rPr>
          <w:rFonts w:ascii="Arial" w:cs="Arial" w:eastAsia="Arial" w:hAnsi="Arial"/>
          <w:color w:val="1E293B"/>
          <w:sz w:val="22"/>
          <w:szCs w:val="22"/>
        </w:rPr>
        <w:t xml:space="preserve">The system was built to produce measurable improvements in how client onboarding operates. These are the outcomes it delivers.</w:t>
      </w:r>
    </w:p>
    <w:p>
      <w:pPr>
        <w:spacing w:after="80" w:before="80"/>
      </w:pPr>
      <w:r>
        <w:t xml:space="preserve"/>
      </w:r>
    </w:p>
    <w:p>
      <w:pPr>
        <w:pStyle w:val="Heading2"/>
        <w:spacing w:after="120" w:before="280"/>
      </w:pPr>
      <w:r>
        <w:rPr>
          <w:rFonts w:ascii="Arial" w:cs="Arial" w:eastAsia="Arial" w:hAnsi="Arial"/>
          <w:b/>
          <w:bCs/>
          <w:color w:val="1D4ED8"/>
          <w:sz w:val="26"/>
          <w:szCs w:val="26"/>
        </w:rPr>
        <w:t xml:space="preserve">Time Saved Per Onboarding</w:t>
      </w:r>
    </w:p>
    <w:p>
      <w:pPr>
        <w:spacing w:after="80" w:before="80"/>
        <w:jc w:val="both"/>
      </w:pPr>
      <w:r>
        <w:rPr>
          <w:rFonts w:ascii="Arial" w:cs="Arial" w:eastAsia="Arial" w:hAnsi="Arial"/>
          <w:color w:val="1E293B"/>
          <w:sz w:val="22"/>
          <w:szCs w:val="22"/>
        </w:rPr>
        <w:t xml:space="preserve">Every onboarding previously required manual action across four separate tools: creating a Drive folder, sending a welcome email, creating a ClickUp task, and posting to Slack. The system eliminates all four steps. Staff time previously spent on process execution is returned to relationship work.</w:t>
      </w:r>
    </w:p>
    <w:p>
      <w:pPr>
        <w:pStyle w:val="Heading2"/>
        <w:spacing w:after="120" w:before="280"/>
      </w:pPr>
      <w:r>
        <w:rPr>
          <w:rFonts w:ascii="Arial" w:cs="Arial" w:eastAsia="Arial" w:hAnsi="Arial"/>
          <w:b/>
          <w:bCs/>
          <w:color w:val="1D4ED8"/>
          <w:sz w:val="26"/>
          <w:szCs w:val="26"/>
        </w:rPr>
        <w:t xml:space="preserve">Error Reduction</w:t>
      </w:r>
    </w:p>
    <w:p>
      <w:pPr>
        <w:spacing w:after="80" w:before="80"/>
        <w:jc w:val="both"/>
      </w:pPr>
      <w:r>
        <w:rPr>
          <w:rFonts w:ascii="Arial" w:cs="Arial" w:eastAsia="Arial" w:hAnsi="Arial"/>
          <w:color w:val="1E293B"/>
          <w:sz w:val="22"/>
          <w:szCs w:val="22"/>
        </w:rPr>
        <w:t xml:space="preserve">Manual onboarding produces inconsistent results. Emails get missed. Folders get named incorrectly. Tasks get forgotten. The system executes the same sequence correctly on every submission, regardless of workload or who is available at the time.</w:t>
      </w:r>
    </w:p>
    <w:p>
      <w:pPr>
        <w:pStyle w:val="Heading2"/>
        <w:spacing w:after="120" w:before="280"/>
      </w:pPr>
      <w:r>
        <w:rPr>
          <w:rFonts w:ascii="Arial" w:cs="Arial" w:eastAsia="Arial" w:hAnsi="Arial"/>
          <w:b/>
          <w:bCs/>
          <w:color w:val="1D4ED8"/>
          <w:sz w:val="26"/>
          <w:szCs w:val="26"/>
        </w:rPr>
        <w:t xml:space="preserve">Response Speed</w:t>
      </w:r>
    </w:p>
    <w:p>
      <w:pPr>
        <w:spacing w:after="80" w:before="80"/>
        <w:jc w:val="both"/>
      </w:pPr>
      <w:r>
        <w:rPr>
          <w:rFonts w:ascii="Arial" w:cs="Arial" w:eastAsia="Arial" w:hAnsi="Arial"/>
          <w:color w:val="1E293B"/>
          <w:sz w:val="22"/>
          <w:szCs w:val="22"/>
        </w:rPr>
        <w:t xml:space="preserve">A client who submits the onboarding form receives a personalized welcome email within seconds. Under a manual process, that response depends on someone being available to send it. The system removes that dependency entirely.</w:t>
      </w:r>
    </w:p>
    <w:p>
      <w:pPr>
        <w:pStyle w:val="Heading2"/>
        <w:spacing w:after="120" w:before="280"/>
      </w:pPr>
      <w:r>
        <w:rPr>
          <w:rFonts w:ascii="Arial" w:cs="Arial" w:eastAsia="Arial" w:hAnsi="Arial"/>
          <w:b/>
          <w:bCs/>
          <w:color w:val="1D4ED8"/>
          <w:sz w:val="26"/>
          <w:szCs w:val="26"/>
        </w:rPr>
        <w:t xml:space="preserve">Staff Focus</w:t>
      </w:r>
    </w:p>
    <w:p>
      <w:pPr>
        <w:spacing w:after="80" w:before="80"/>
        <w:jc w:val="both"/>
      </w:pPr>
      <w:r>
        <w:rPr>
          <w:rFonts w:ascii="Arial" w:cs="Arial" w:eastAsia="Arial" w:hAnsi="Arial"/>
          <w:color w:val="1E293B"/>
          <w:sz w:val="22"/>
          <w:szCs w:val="22"/>
        </w:rPr>
        <w:t xml:space="preserve">The automation handles the process. Staff handle the relationship. The 24-hour follow-up task in ClickUp is the handoff point, where the system's work ends and the human's work begins. That boundary is intentional and clearly defined.</w:t>
      </w:r>
    </w:p>
    <w:p>
      <w:pPr>
        <w:pStyle w:val="Heading2"/>
        <w:spacing w:after="120" w:before="280"/>
      </w:pPr>
      <w:r>
        <w:rPr>
          <w:rFonts w:ascii="Arial" w:cs="Arial" w:eastAsia="Arial" w:hAnsi="Arial"/>
          <w:b/>
          <w:bCs/>
          <w:color w:val="1D4ED8"/>
          <w:sz w:val="26"/>
          <w:szCs w:val="26"/>
        </w:rPr>
        <w:t xml:space="preserve">Consistency of Client Experience</w:t>
      </w:r>
    </w:p>
    <w:p>
      <w:pPr>
        <w:spacing w:after="80" w:before="80"/>
        <w:jc w:val="both"/>
      </w:pPr>
      <w:r>
        <w:rPr>
          <w:rFonts w:ascii="Arial" w:cs="Arial" w:eastAsia="Arial" w:hAnsi="Arial"/>
          <w:color w:val="1E293B"/>
          <w:sz w:val="22"/>
          <w:szCs w:val="22"/>
        </w:rPr>
        <w:t xml:space="preserve">Every client receives the same professional experience at the moment of onboarding, regardless of time of day, day of week, or internal capacity. The quality of the first touch does not vary.</w:t>
      </w:r>
    </w:p>
    <w:p>
      <w:pPr>
        <w:pStyle w:val="Heading2"/>
        <w:spacing w:after="120" w:before="280"/>
      </w:pPr>
      <w:r>
        <w:rPr>
          <w:rFonts w:ascii="Arial" w:cs="Arial" w:eastAsia="Arial" w:hAnsi="Arial"/>
          <w:b/>
          <w:bCs/>
          <w:color w:val="1D4ED8"/>
          <w:sz w:val="26"/>
          <w:szCs w:val="26"/>
        </w:rPr>
        <w:t xml:space="preserve">Elimination of Cross-Tool Verification</w:t>
      </w:r>
    </w:p>
    <w:p>
      <w:pPr>
        <w:spacing w:after="80" w:before="80"/>
        <w:jc w:val="both"/>
      </w:pPr>
      <w:r>
        <w:rPr>
          <w:rFonts w:ascii="Arial" w:cs="Arial" w:eastAsia="Arial" w:hAnsi="Arial"/>
          <w:color w:val="1E293B"/>
          <w:sz w:val="22"/>
          <w:szCs w:val="22"/>
        </w:rPr>
        <w:t xml:space="preserve">The Slack notification confirms that all three upstream actions completed successfully on every run. There is no need to check Drive, Gmail, and ClickUp separately after each onboarding to verify the system did its job. The confirmation arrives automatically.</w:t>
      </w:r>
    </w:p>
    <w:p>
      <w:pPr>
        <w:spacing w:after="80" w:before="80"/>
      </w:pPr>
      <w:r>
        <w:t xml:space="preserve"/>
      </w:r>
    </w:p>
    <w:p>
      <w:pPr>
        <w:pStyle w:val="Heading1"/>
        <w:pBdr>
          <w:bottom w:val="single" w:color="1D4ED8" w:sz="6" w:space="1"/>
        </w:pBdr>
        <w:spacing w:after="160" w:before="360"/>
      </w:pPr>
      <w:r>
        <w:rPr>
          <w:rFonts w:ascii="Arial" w:cs="Arial" w:eastAsia="Arial" w:hAnsi="Arial"/>
          <w:b/>
          <w:bCs/>
          <w:color w:val="0F172A"/>
          <w:sz w:val="32"/>
          <w:szCs w:val="32"/>
        </w:rPr>
        <w:t xml:space="preserve">Tools Connected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686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0F172A"/>
                <w:sz w:val="20"/>
                <w:szCs w:val="20"/>
              </w:rPr>
              <w:t xml:space="preserve">Tally</w:t>
            </w:r>
          </w:p>
        </w:tc>
        <w:tc>
          <w:tcPr>
            <w:tcW w:type="dxa" w:w="68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E293B"/>
                <w:sz w:val="20"/>
                <w:szCs w:val="20"/>
              </w:rPr>
              <w:t xml:space="preserve">Form submission and webhook trigger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Google Drive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Client folder creation and storage</w:t>
            </w:r>
          </w:p>
        </w:tc>
      </w:tr>
      <w:tr>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0F172A"/>
                <w:sz w:val="20"/>
                <w:szCs w:val="20"/>
              </w:rPr>
              <w:t xml:space="preserve">Gmail</w:t>
            </w:r>
          </w:p>
        </w:tc>
        <w:tc>
          <w:tcPr>
            <w:tcW w:type="dxa" w:w="68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E293B"/>
                <w:sz w:val="20"/>
                <w:szCs w:val="20"/>
              </w:rPr>
              <w:t xml:space="preserve">Welcome email delivery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ClickUp</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Task creation and assignment</w:t>
            </w:r>
          </w:p>
        </w:tc>
      </w:tr>
      <w:tr>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0F172A"/>
                <w:sz w:val="20"/>
                <w:szCs w:val="20"/>
              </w:rPr>
              <w:t xml:space="preserve">Slack #onboarding</w:t>
            </w:r>
          </w:p>
        </w:tc>
        <w:tc>
          <w:tcPr>
            <w:tcW w:type="dxa" w:w="68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E293B"/>
                <w:sz w:val="20"/>
                <w:szCs w:val="20"/>
              </w:rPr>
              <w:t xml:space="preserve">Internal notification and status confirmation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Slack #errors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Blocked submission notification and error alerting</w:t>
            </w:r>
          </w:p>
        </w:tc>
      </w:tr>
    </w:tbl>
    <w:p>
      <w:pPr>
        <w:spacing w:after="80" w:before="80"/>
      </w:pPr>
      <w:r>
        <w:t xml:space="preserve"/>
      </w:r>
    </w:p>
    <w:p>
      <w:pPr>
        <w:spacing w:after="80" w:before="80"/>
      </w:pPr>
      <w:r>
        <w:t xml:space="preserve"/>
      </w:r>
    </w:p>
    <w:p>
      <w:pPr>
        <w:pBdr>
          <w:top w:val="single" w:color="E2E8F0" w:sz="4" w:space="1"/>
        </w:pBdr>
        <w:spacing w:before="200"/>
        <w:jc w:val="center"/>
      </w:pPr>
      <w:r>
        <w:rPr>
          <w:rFonts w:ascii="Arial" w:cs="Arial" w:eastAsia="Arial" w:hAnsi="Arial"/>
          <w:color w:val="94A3B8"/>
          <w:sz w:val="18"/>
          <w:szCs w:val="18"/>
        </w:rPr>
        <w:t xml:space="preserve">Project 2 of 2  |  AI Automation Portfolio  |  Adeayo Adewale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2"/>
      <w:szCs w:val="32"/>
    </w:rPr>
  </w:style>
  <w:style w:type="paragraph" w:styleId="Heading2">
    <w:name w:val="Heading 2"/>
    <w:basedOn w:val="Normal"/>
    <w:next w:val="Normal"/>
    <w:qFormat/>
    <w:pPr>
      <w:spacing w:after="12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2026-05-02T07:57:05.086Z</dcterms:created>
  <dcterms:modified xsi:type="dcterms:W3CDTF">2026-05-02T07:57:05.132Z</dcterms:modified>
</cp:coreProperties>
</file>

<file path=docProps/custom.xml><?xml version="1.0" encoding="utf-8"?>
<Properties xmlns="http://schemas.openxmlformats.org/officeDocument/2006/custom-properties" xmlns:vt="http://schemas.openxmlformats.org/officeDocument/2006/docPropsVTypes"/>
</file>