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800"/>
        <w:rPr/>
      </w:pPr>
      <w:r>
        <w:rPr/>
      </w:r>
    </w:p>
    <w:p>
      <w:pPr>
        <w:pStyle w:val="Normal"/>
        <w:spacing w:before="0" w:after="80"/>
        <w:jc w:val="center"/>
        <w:rPr/>
      </w:pPr>
      <w:r>
        <w:rPr>
          <w:rFonts w:eastAsia="Arial" w:cs="Arial"/>
          <w:b/>
          <w:bCs/>
          <w:caps/>
          <w:color w:val="185FA5"/>
          <w:sz w:val="18"/>
          <w:szCs w:val="18"/>
        </w:rPr>
        <w:t>NISER NIGERIA  ·  WEBSITE MODERNISATION INITIATIVE</w:t>
      </w:r>
    </w:p>
    <w:p>
      <w:pPr>
        <w:pStyle w:val="Normal"/>
        <w:spacing w:before="0" w:after="40"/>
        <w:jc w:val="center"/>
        <w:rPr/>
      </w:pPr>
      <w:r>
        <w:rPr>
          <w:rFonts w:eastAsia="Arial" w:cs="Arial"/>
          <w:b/>
          <w:bCs/>
          <w:color w:val="0D2E5A"/>
          <w:sz w:val="52"/>
          <w:szCs w:val="52"/>
        </w:rPr>
        <w:t>Website Modernisation</w:t>
      </w:r>
    </w:p>
    <w:p>
      <w:pPr>
        <w:pStyle w:val="Normal"/>
        <w:spacing w:before="0" w:after="200"/>
        <w:jc w:val="center"/>
        <w:rPr/>
      </w:pPr>
      <w:r>
        <w:rPr>
          <w:rFonts w:eastAsia="Arial" w:cs="Arial"/>
          <w:b/>
          <w:bCs/>
          <w:color w:val="0D2E5A"/>
          <w:sz w:val="52"/>
          <w:szCs w:val="52"/>
        </w:rPr>
        <w:t>Implementation Plan v1.1</w:t>
      </w:r>
    </w:p>
    <w:p>
      <w:pPr>
        <w:pStyle w:val="Normal"/>
        <w:spacing w:before="0" w:after="60"/>
        <w:jc w:val="center"/>
        <w:rPr/>
      </w:pPr>
      <w:r>
        <w:rPr>
          <w:rFonts w:eastAsia="Arial" w:cs="Arial"/>
          <w:color w:val="3C3489"/>
          <w:sz w:val="26"/>
          <w:szCs w:val="26"/>
        </w:rPr>
        <w:t>Now including AI &amp; Chatbot Integration — Section 9</w:t>
      </w:r>
    </w:p>
    <w:p>
      <w:pPr>
        <w:pStyle w:val="Normal"/>
        <w:spacing w:before="0" w:after="400"/>
        <w:jc w:val="center"/>
        <w:rPr/>
      </w:pPr>
      <w:r>
        <w:rPr>
          <w:rFonts w:eastAsia="Arial" w:cs="Arial"/>
          <w:color w:val="5F5E5A"/>
          <w:sz w:val="22"/>
          <w:szCs w:val="22"/>
        </w:rPr>
        <w:t>Technology Architecture: Headless CMS + Next.js Frontend  ·  niser.gov.ng</w:t>
      </w:r>
    </w:p>
    <w:tbl>
      <w:tblPr>
        <w:tblW w:w="9360" w:type="dxa"/>
        <w:jc w:val="start"/>
        <w:tblInd w:w="0" w:type="dxa"/>
        <w:tblLayout w:type="fixed"/>
        <w:tblCellMar>
          <w:top w:w="100" w:type="dxa"/>
          <w:start w:w="140" w:type="dxa"/>
          <w:bottom w:w="100" w:type="dxa"/>
          <w:end w:w="140" w:type="dxa"/>
        </w:tblCellMar>
      </w:tblPr>
      <w:tblGrid>
        <w:gridCol w:w="2657"/>
        <w:gridCol w:w="2700"/>
        <w:gridCol w:w="4003"/>
      </w:tblGrid>
      <w:tr>
        <w:trPr/>
        <w:tc>
          <w:tcPr>
            <w:tcW w:w="2657"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18"/>
                <w:szCs w:val="18"/>
              </w:rPr>
              <w:t>Document version</w:t>
            </w:r>
          </w:p>
          <w:p>
            <w:pPr>
              <w:pStyle w:val="Normal"/>
              <w:rPr/>
            </w:pPr>
            <w:r>
              <w:rPr>
                <w:rFonts w:eastAsia="Arial" w:cs="Arial"/>
                <w:b/>
                <w:bCs/>
                <w:color w:val="0D2E5A"/>
                <w:sz w:val="20"/>
                <w:szCs w:val="20"/>
              </w:rPr>
              <w:t>1.1 — With AI Integration</w:t>
            </w:r>
          </w:p>
        </w:tc>
        <w:tc>
          <w:tcPr>
            <w:tcW w:w="27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18"/>
                <w:szCs w:val="18"/>
              </w:rPr>
              <w:t>Prepared</w:t>
            </w:r>
          </w:p>
          <w:p>
            <w:pPr>
              <w:pStyle w:val="Normal"/>
              <w:rPr/>
            </w:pPr>
            <w:r>
              <w:rPr>
                <w:rFonts w:eastAsia="Arial" w:cs="Arial"/>
                <w:b/>
                <w:bCs/>
                <w:color w:val="0D2E5A"/>
                <w:sz w:val="20"/>
                <w:szCs w:val="20"/>
              </w:rPr>
              <w:t>May 2026</w:t>
            </w:r>
          </w:p>
        </w:tc>
        <w:tc>
          <w:tcPr>
            <w:tcW w:w="4003"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18"/>
                <w:szCs w:val="18"/>
              </w:rPr>
              <w:t>Audience</w:t>
            </w:r>
          </w:p>
          <w:p>
            <w:pPr>
              <w:pStyle w:val="Normal"/>
              <w:rPr/>
            </w:pPr>
            <w:r>
              <w:rPr>
                <w:rFonts w:eastAsia="Arial" w:cs="Arial"/>
                <w:b/>
                <w:bCs/>
                <w:color w:val="0D2E5A"/>
                <w:sz w:val="20"/>
                <w:szCs w:val="20"/>
              </w:rPr>
              <w:t>NISER Executive, IT Unit</w:t>
            </w:r>
          </w:p>
        </w:tc>
      </w:tr>
    </w:tbl>
    <w:p>
      <w:pPr>
        <w:pStyle w:val="Normal"/>
        <w:spacing w:before="0" w:after="300"/>
        <w:rPr/>
      </w:pPr>
      <w:r>
        <w:rPr/>
      </w:r>
    </w:p>
    <w:tbl>
      <w:tblPr>
        <w:tblW w:w="9360" w:type="dxa"/>
        <w:jc w:val="start"/>
        <w:tblInd w:w="0" w:type="dxa"/>
        <w:tblLayout w:type="fixed"/>
        <w:tblCellMar>
          <w:top w:w="100" w:type="dxa"/>
          <w:start w:w="80" w:type="dxa"/>
          <w:bottom w:w="100" w:type="dxa"/>
          <w:end w:w="80" w:type="dxa"/>
        </w:tblCellMar>
      </w:tblPr>
      <w:tblGrid>
        <w:gridCol w:w="1560"/>
        <w:gridCol w:w="1559"/>
        <w:gridCol w:w="1561"/>
        <w:gridCol w:w="1963"/>
        <w:gridCol w:w="2717"/>
      </w:tblGrid>
      <w:tr>
        <w:trPr/>
        <w:tc>
          <w:tcPr>
            <w:tcW w:w="156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color w:val="5F5E5A"/>
                <w:sz w:val="17"/>
                <w:szCs w:val="17"/>
              </w:rPr>
              <w:t>Sections</w:t>
            </w:r>
          </w:p>
          <w:p>
            <w:pPr>
              <w:pStyle w:val="Normal"/>
              <w:jc w:val="center"/>
              <w:rPr/>
            </w:pPr>
            <w:r>
              <w:rPr>
                <w:rFonts w:eastAsia="Arial" w:cs="Arial"/>
                <w:b/>
                <w:bCs/>
                <w:color w:val="0D2E5A"/>
                <w:sz w:val="32"/>
                <w:szCs w:val="32"/>
              </w:rPr>
              <w:t>9</w:t>
            </w:r>
          </w:p>
        </w:tc>
        <w:tc>
          <w:tcPr>
            <w:tcW w:w="1559"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color w:val="5F5E5A"/>
                <w:sz w:val="17"/>
                <w:szCs w:val="17"/>
              </w:rPr>
              <w:t>Phases</w:t>
            </w:r>
          </w:p>
          <w:p>
            <w:pPr>
              <w:pStyle w:val="Normal"/>
              <w:jc w:val="center"/>
              <w:rPr/>
            </w:pPr>
            <w:r>
              <w:rPr>
                <w:rFonts w:eastAsia="Arial" w:cs="Arial"/>
                <w:b/>
                <w:bCs/>
                <w:color w:val="0D2E5A"/>
                <w:sz w:val="32"/>
                <w:szCs w:val="32"/>
              </w:rPr>
              <w:t>4</w:t>
            </w:r>
          </w:p>
        </w:tc>
        <w:tc>
          <w:tcPr>
            <w:tcW w:w="1561"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color w:val="5F5E5A"/>
                <w:sz w:val="17"/>
                <w:szCs w:val="17"/>
              </w:rPr>
              <w:t>Deliverables</w:t>
            </w:r>
          </w:p>
          <w:p>
            <w:pPr>
              <w:pStyle w:val="Normal"/>
              <w:jc w:val="center"/>
              <w:rPr/>
            </w:pPr>
            <w:r>
              <w:rPr>
                <w:rFonts w:eastAsia="Arial" w:cs="Arial"/>
                <w:b/>
                <w:bCs/>
                <w:color w:val="0D2E5A"/>
                <w:sz w:val="32"/>
                <w:szCs w:val="32"/>
              </w:rPr>
              <w:t>26+</w:t>
            </w:r>
          </w:p>
        </w:tc>
        <w:tc>
          <w:tcPr>
            <w:tcW w:w="1963"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color w:val="5F5E5A"/>
                <w:sz w:val="17"/>
                <w:szCs w:val="17"/>
              </w:rPr>
              <w:t>AI features</w:t>
            </w:r>
          </w:p>
          <w:p>
            <w:pPr>
              <w:pStyle w:val="Normal"/>
              <w:jc w:val="center"/>
              <w:rPr/>
            </w:pPr>
            <w:r>
              <w:rPr>
                <w:rFonts w:eastAsia="Arial" w:cs="Arial"/>
                <w:b/>
                <w:bCs/>
                <w:color w:val="0D2E5A"/>
                <w:sz w:val="32"/>
                <w:szCs w:val="32"/>
              </w:rPr>
              <w:t>7</w:t>
            </w:r>
          </w:p>
        </w:tc>
        <w:tc>
          <w:tcPr>
            <w:tcW w:w="2717"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color w:val="5F5E5A"/>
                <w:sz w:val="17"/>
                <w:szCs w:val="17"/>
              </w:rPr>
              <w:t>Timeline</w:t>
            </w:r>
          </w:p>
          <w:p>
            <w:pPr>
              <w:pStyle w:val="Normal"/>
              <w:jc w:val="center"/>
              <w:rPr/>
            </w:pPr>
            <w:r>
              <w:rPr>
                <w:rFonts w:eastAsia="Arial" w:cs="Arial"/>
                <w:b/>
                <w:bCs/>
                <w:color w:val="0D2E5A"/>
                <w:sz w:val="32"/>
                <w:szCs w:val="32"/>
              </w:rPr>
              <w:t>12 months</w:t>
            </w:r>
          </w:p>
        </w:tc>
      </w:tr>
    </w:tbl>
    <w:p>
      <w:pPr>
        <w:pStyle w:val="Normal"/>
        <w:rPr/>
      </w:pPr>
      <w:r>
        <w:rPr/>
      </w:r>
      <w:r>
        <w:br w:type="page"/>
      </w:r>
    </w:p>
    <w:p>
      <w:pPr>
        <w:pStyle w:val="Heading1"/>
        <w:spacing w:before="0" w:after="80"/>
        <w:rPr/>
      </w:pPr>
      <w:r>
        <w:rPr>
          <w:rFonts w:eastAsia="Arial" w:cs="Arial" w:ascii="Arial" w:hAnsi="Arial"/>
          <w:b/>
          <w:bCs/>
          <w:color w:val="854F0B"/>
          <w:sz w:val="22"/>
          <w:szCs w:val="22"/>
        </w:rPr>
        <w:t>Executive Summary</w:t>
      </w:r>
    </w:p>
    <w:p>
      <w:pPr>
        <w:pStyle w:val="Normal"/>
        <w:spacing w:before="0" w:after="120"/>
        <w:rPr/>
      </w:pPr>
      <w:r>
        <w:rPr>
          <w:rFonts w:eastAsia="Arial" w:cs="Arial"/>
          <w:color w:val="1A1A1A"/>
          <w:sz w:val="22"/>
          <w:szCs w:val="22"/>
        </w:rPr>
        <w:tab/>
        <w:t xml:space="preserve">This is Version 1.1 of the NISER Website Modernisation Implementation Plan, updated to include a comprehensive </w:t>
      </w:r>
      <w:r>
        <w:rPr>
          <w:rFonts w:eastAsia="Arial" w:cs="Arial"/>
          <w:b/>
          <w:bCs/>
          <w:color w:val="3C3489"/>
          <w:sz w:val="22"/>
          <w:szCs w:val="22"/>
        </w:rPr>
        <w:t>AI and Chatbot Integration section (Section 9)</w:t>
      </w:r>
      <w:r>
        <w:rPr>
          <w:rFonts w:eastAsia="Arial" w:cs="Arial"/>
          <w:color w:val="1A1A1A"/>
          <w:sz w:val="22"/>
          <w:szCs w:val="22"/>
        </w:rPr>
        <w:t xml:space="preserve">. The core architecture — Next.js 14 frontend, headless CMS (WordPress or Payload), Vercel hosting, Cloudflare CDN — remains unchanged from v1.0. The AI section adds seven new capabilities phased across the existing implementation timeline, at an average incremental cost of </w:t>
      </w:r>
      <w:r>
        <w:rPr>
          <w:rFonts w:eastAsia="Arial" w:cs="Arial"/>
          <w:b/>
          <w:bCs/>
          <w:color w:val="1A1A1A"/>
          <w:sz w:val="22"/>
          <w:szCs w:val="22"/>
          <w:shd w:fill="FF4000" w:val="clear"/>
        </w:rPr>
        <w:t>$60–80 per month</w:t>
      </w:r>
      <w:r>
        <w:rPr>
          <w:rFonts w:eastAsia="Arial" w:cs="Arial"/>
          <w:color w:val="1A1A1A"/>
          <w:sz w:val="22"/>
          <w:szCs w:val="22"/>
          <w:shd w:fill="FF4000" w:val="clear"/>
        </w:rPr>
        <w:t>.</w:t>
      </w:r>
    </w:p>
    <w:p>
      <w:pPr>
        <w:pStyle w:val="Normal"/>
        <w:spacing w:before="0" w:after="120"/>
        <w:rPr/>
      </w:pPr>
      <w:r>
        <w:rPr>
          <w:rFonts w:eastAsia="Arial" w:cs="Arial"/>
          <w:color w:val="1A1A1A"/>
          <w:sz w:val="22"/>
          <w:szCs w:val="22"/>
        </w:rPr>
        <w:tab/>
        <w:t xml:space="preserve">NISER scores </w:t>
      </w:r>
      <w:r>
        <w:rPr>
          <w:rFonts w:eastAsia="Arial" w:cs="Arial"/>
          <w:b/>
          <w:bCs/>
          <w:color w:val="854F0B"/>
          <w:sz w:val="22"/>
          <w:szCs w:val="22"/>
        </w:rPr>
        <w:t>41/100</w:t>
      </w:r>
      <w:r>
        <w:rPr>
          <w:rFonts w:eastAsia="Arial" w:cs="Arial"/>
          <w:color w:val="1A1A1A"/>
          <w:sz w:val="22"/>
          <w:szCs w:val="22"/>
        </w:rPr>
        <w:t xml:space="preserve"> on the current website quality benchmark — last among twelve comparable African and global research institutions. The twelve-month programme documented here is projected to raise this score to </w:t>
      </w:r>
      <w:r>
        <w:rPr>
          <w:rFonts w:eastAsia="Arial" w:cs="Arial"/>
          <w:b/>
          <w:bCs/>
          <w:color w:val="0F6E56"/>
          <w:sz w:val="22"/>
          <w:szCs w:val="22"/>
        </w:rPr>
        <w:t>75/100</w:t>
      </w:r>
      <w:r>
        <w:rPr>
          <w:rFonts w:eastAsia="Arial" w:cs="Arial"/>
          <w:color w:val="1A1A1A"/>
          <w:sz w:val="22"/>
          <w:szCs w:val="22"/>
        </w:rPr>
        <w:t>, placing NISER in the African leaders tier. The addition of AI capabilities — particularly the Research Chatbot, Semantic Search, and Automated Policy Monitoring — further differentiates NISER as a digitally forward institution among its Nigerian and African peers.</w:t>
      </w:r>
    </w:p>
    <w:p>
      <w:pPr>
        <w:pStyle w:val="Normal"/>
        <w:pBdr>
          <w:bottom w:val="single" w:sz="4" w:space="1" w:color="185FA5"/>
        </w:pBdr>
        <w:spacing w:before="120" w:after="240"/>
        <w:rPr/>
      </w:pPr>
      <w:r>
        <w:rPr/>
      </w:r>
    </w:p>
    <w:p>
      <w:pPr>
        <w:pStyle w:val="Heading2"/>
        <w:spacing w:before="140" w:after="80"/>
        <w:rPr/>
      </w:pPr>
      <w:r>
        <w:rPr>
          <w:rFonts w:eastAsia="Arial" w:cs="Arial" w:ascii="Arial" w:hAnsi="Arial"/>
          <w:b/>
          <w:bCs/>
          <w:color w:val="854F0B"/>
          <w:sz w:val="22"/>
          <w:szCs w:val="22"/>
        </w:rPr>
        <w:t>What is new in v1.1</w:t>
      </w:r>
    </w:p>
    <w:tbl>
      <w:tblPr>
        <w:tblW w:w="9360" w:type="dxa"/>
        <w:jc w:val="start"/>
        <w:tblInd w:w="0" w:type="dxa"/>
        <w:tblLayout w:type="fixed"/>
        <w:tblCellMar>
          <w:top w:w="80" w:type="dxa"/>
          <w:start w:w="120" w:type="dxa"/>
          <w:bottom w:w="80" w:type="dxa"/>
          <w:end w:w="120" w:type="dxa"/>
        </w:tblCellMar>
      </w:tblPr>
      <w:tblGrid>
        <w:gridCol w:w="3599"/>
        <w:gridCol w:w="5761"/>
      </w:tblGrid>
      <w:tr>
        <w:trPr/>
        <w:tc>
          <w:tcPr>
            <w:tcW w:w="35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Addition</w:t>
            </w:r>
          </w:p>
        </w:tc>
        <w:tc>
          <w:tcPr>
            <w:tcW w:w="57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Description</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Section 9 — AI &amp; Chatbot Integration</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Seven AI capabilities phased across the implementation: Research Chatbot (RAG-based), Semantic Search, Policy Brief Generator, Literature Review Assistant, Content Recommendations, Policy Monitor &amp; Alerts, and AI Translation into Yoruba, Hausa, and Igbo.</w:t>
            </w:r>
          </w:p>
        </w:tc>
      </w:tr>
      <w:tr>
        <w:trPr/>
        <w:tc>
          <w:tcPr>
            <w:tcW w:w="35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AI governance policy</w:t>
            </w:r>
          </w:p>
        </w:tc>
        <w:tc>
          <w:tcPr>
            <w:tcW w:w="57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Mandatory governance framework for all AI tools: human-in-the-loop requirement, NDPR compliance, transparency to users, hallucination monitoring, and annual ethics review.</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Updated cost table (Section 7)</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 xml:space="preserve">AI integration costs added as a line item — </w:t>
            </w:r>
            <w:r>
              <w:rPr>
                <w:rFonts w:eastAsia="Arial" w:cs="Arial"/>
                <w:color w:val="1A1A1A"/>
                <w:sz w:val="20"/>
                <w:szCs w:val="20"/>
                <w:shd w:fill="FF4000" w:val="clear"/>
              </w:rPr>
              <w:t>$1,600–3,000 one-time setup; $17–145/month ongoing.</w:t>
            </w:r>
          </w:p>
        </w:tc>
      </w:tr>
      <w:tr>
        <w:trPr/>
        <w:tc>
          <w:tcPr>
            <w:tcW w:w="35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Updated KPI table (Section 8)</w:t>
            </w:r>
          </w:p>
        </w:tc>
        <w:tc>
          <w:tcPr>
            <w:tcW w:w="57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Three new AI-specific KPIs: chatbot answer rate, policy brief generation time, and policy monitor delivery time.</w:t>
            </w:r>
          </w:p>
        </w:tc>
      </w:tr>
    </w:tbl>
    <w:p>
      <w:pPr>
        <w:pStyle w:val="Normal"/>
        <w:spacing w:before="0" w:after="200"/>
        <w:rPr/>
      </w:pPr>
      <w:r>
        <w:rPr/>
      </w:r>
    </w:p>
    <w:p>
      <w:pPr>
        <w:pStyle w:val="Normal"/>
        <w:rPr/>
      </w:pPr>
      <w:r>
        <w:rPr/>
      </w:r>
      <w:r>
        <w:br w:type="page"/>
      </w:r>
    </w:p>
    <w:p>
      <w:pPr>
        <w:pStyle w:val="Heading1"/>
        <w:spacing w:before="0" w:after="80"/>
        <w:rPr/>
      </w:pPr>
      <w:r>
        <w:rPr>
          <w:rFonts w:eastAsia="Arial" w:cs="Arial" w:ascii="Arial" w:hAnsi="Arial"/>
          <w:b/>
          <w:bCs/>
          <w:color w:val="854F0B"/>
          <w:sz w:val="22"/>
          <w:szCs w:val="22"/>
        </w:rPr>
        <w:t>1. Technology Stack</w:t>
      </w:r>
    </w:p>
    <w:p>
      <w:pPr>
        <w:pStyle w:val="Heading2"/>
        <w:spacing w:before="140" w:after="80"/>
        <w:rPr/>
      </w:pPr>
      <w:r>
        <w:rPr>
          <w:rFonts w:eastAsia="Arial" w:cs="Arial" w:ascii="Arial" w:hAnsi="Arial"/>
          <w:b/>
          <w:bCs/>
          <w:color w:val="854F0B"/>
          <w:sz w:val="22"/>
          <w:szCs w:val="22"/>
        </w:rPr>
        <w:t>1.1 Architecture Overview</w:t>
      </w:r>
    </w:p>
    <w:p>
      <w:pPr>
        <w:pStyle w:val="Normal"/>
        <w:spacing w:before="0" w:after="80"/>
        <w:rPr/>
      </w:pPr>
      <w:r>
        <w:rPr>
          <w:rFonts w:eastAsia="Arial" w:cs="Arial"/>
          <w:b/>
          <w:bCs/>
          <w:color w:val="1A1A1A"/>
          <w:sz w:val="22"/>
          <w:szCs w:val="22"/>
        </w:rPr>
        <w:t xml:space="preserve">Frontend: </w:t>
      </w:r>
      <w:r>
        <w:rPr>
          <w:rFonts w:eastAsia="Arial" w:cs="Arial"/>
          <w:color w:val="1A1A1A"/>
          <w:sz w:val="22"/>
          <w:szCs w:val="22"/>
        </w:rPr>
        <w:t>Next.js 14 (App Router, TypeScript) — Static Site Generation for publications and pages; Incremental Static Regeneration for news; Server Components for dynamic data. Deployed to Vercel global edge network.</w:t>
      </w:r>
    </w:p>
    <w:p>
      <w:pPr>
        <w:pStyle w:val="Normal"/>
        <w:spacing w:before="0" w:after="80"/>
        <w:rPr/>
      </w:pPr>
      <w:r>
        <w:rPr>
          <w:rFonts w:eastAsia="Arial" w:cs="Arial"/>
          <w:b/>
          <w:bCs/>
          <w:color w:val="1A1A1A"/>
          <w:sz w:val="22"/>
          <w:szCs w:val="22"/>
        </w:rPr>
        <w:t xml:space="preserve">CMS backend: </w:t>
      </w:r>
      <w:r>
        <w:rPr>
          <w:rFonts w:eastAsia="Arial" w:cs="Arial"/>
          <w:color w:val="1A1A1A"/>
          <w:sz w:val="22"/>
          <w:szCs w:val="22"/>
        </w:rPr>
        <w:t xml:space="preserve">WordPress (headless) via </w:t>
      </w:r>
      <w:r>
        <w:rPr>
          <w:rFonts w:eastAsia="Arial" w:cs="Arial"/>
          <w:color w:val="1A1A1A"/>
          <w:sz w:val="22"/>
          <w:szCs w:val="22"/>
          <w:shd w:fill="FF4000" w:val="clear"/>
        </w:rPr>
        <w:t>WPGraphQL plugin</w:t>
      </w:r>
      <w:r>
        <w:rPr>
          <w:rFonts w:eastAsia="Arial" w:cs="Arial"/>
          <w:color w:val="1A1A1A"/>
          <w:sz w:val="22"/>
          <w:szCs w:val="22"/>
        </w:rPr>
        <w:t xml:space="preserve"> — or — Payload CMS (Node.js native). WordPress retained </w:t>
      </w:r>
      <w:r>
        <w:rPr>
          <w:rFonts w:eastAsia="Arial" w:cs="Arial"/>
          <w:color w:val="1A1A1A"/>
          <w:sz w:val="22"/>
          <w:szCs w:val="22"/>
        </w:rPr>
        <w:t>since</w:t>
      </w:r>
      <w:r>
        <w:rPr>
          <w:rFonts w:eastAsia="Arial" w:cs="Arial"/>
          <w:color w:val="1A1A1A"/>
          <w:sz w:val="22"/>
          <w:szCs w:val="22"/>
        </w:rPr>
        <w:t xml:space="preserve"> NISER staff are familiar with the interface. Payload CMS recommended for greenfield installations.</w:t>
      </w:r>
    </w:p>
    <w:p>
      <w:pPr>
        <w:pStyle w:val="Normal"/>
        <w:spacing w:before="0" w:after="80"/>
        <w:rPr/>
      </w:pPr>
      <w:r>
        <w:rPr>
          <w:rFonts w:eastAsia="Arial" w:cs="Arial"/>
          <w:b/>
          <w:bCs/>
          <w:color w:val="1A1A1A"/>
          <w:sz w:val="22"/>
          <w:szCs w:val="22"/>
        </w:rPr>
        <w:t xml:space="preserve">Styling: </w:t>
      </w:r>
      <w:r>
        <w:rPr>
          <w:rFonts w:eastAsia="Arial" w:cs="Arial"/>
          <w:color w:val="1A1A1A"/>
          <w:sz w:val="22"/>
          <w:szCs w:val="22"/>
          <w:shd w:fill="FF4000" w:val="clear"/>
        </w:rPr>
        <w:t>Tailwind CSS v4 + shadcn/ui</w:t>
      </w:r>
      <w:r>
        <w:rPr>
          <w:rFonts w:eastAsia="Arial" w:cs="Arial"/>
          <w:color w:val="1A1A1A"/>
          <w:sz w:val="22"/>
          <w:szCs w:val="22"/>
        </w:rPr>
        <w:t xml:space="preserve"> accessible component library. Utility-first, zero unused CSS shipped, accessible primitives out of the box.</w:t>
      </w:r>
    </w:p>
    <w:p>
      <w:pPr>
        <w:pStyle w:val="Normal"/>
        <w:spacing w:before="0" w:after="80"/>
        <w:rPr/>
      </w:pPr>
      <w:r>
        <w:rPr>
          <w:rFonts w:eastAsia="Arial" w:cs="Arial"/>
          <w:b/>
          <w:bCs/>
          <w:color w:val="1A1A1A"/>
          <w:sz w:val="22"/>
          <w:szCs w:val="22"/>
        </w:rPr>
        <w:t xml:space="preserve">Search: </w:t>
      </w:r>
      <w:r>
        <w:rPr>
          <w:rFonts w:eastAsia="Arial" w:cs="Arial"/>
          <w:color w:val="1A1A1A"/>
          <w:sz w:val="22"/>
          <w:szCs w:val="22"/>
          <w:shd w:fill="FF4000" w:val="clear"/>
        </w:rPr>
        <w:t>Algolia DocSearch</w:t>
      </w:r>
      <w:r>
        <w:rPr>
          <w:rFonts w:eastAsia="Arial" w:cs="Arial"/>
          <w:color w:val="1A1A1A"/>
          <w:sz w:val="22"/>
          <w:szCs w:val="22"/>
        </w:rPr>
        <w:t xml:space="preserve"> (free for public research sites) or </w:t>
      </w:r>
      <w:r>
        <w:rPr>
          <w:rFonts w:eastAsia="Arial" w:cs="Arial"/>
          <w:color w:val="1A1A1A"/>
          <w:sz w:val="22"/>
          <w:szCs w:val="22"/>
          <w:shd w:fill="FF4000" w:val="clear"/>
        </w:rPr>
        <w:t>Meilisearch</w:t>
      </w:r>
      <w:r>
        <w:rPr>
          <w:rFonts w:eastAsia="Arial" w:cs="Arial"/>
          <w:color w:val="1A1A1A"/>
          <w:sz w:val="22"/>
          <w:szCs w:val="22"/>
        </w:rPr>
        <w:t xml:space="preserve"> (self-hosted, free). Upgraded to semantic vector search in Phase 2 (see Section 9 — AI Capability 2).</w:t>
      </w:r>
    </w:p>
    <w:p>
      <w:pPr>
        <w:pStyle w:val="Normal"/>
        <w:spacing w:before="0" w:after="80"/>
        <w:rPr/>
      </w:pPr>
      <w:r>
        <w:rPr>
          <w:rFonts w:eastAsia="Arial" w:cs="Arial"/>
          <w:b/>
          <w:bCs/>
          <w:color w:val="1A1A1A"/>
          <w:sz w:val="22"/>
          <w:szCs w:val="22"/>
        </w:rPr>
        <w:t xml:space="preserve">Hosting: </w:t>
      </w:r>
      <w:r>
        <w:rPr>
          <w:rFonts w:eastAsia="Arial" w:cs="Arial"/>
          <w:color w:val="1A1A1A"/>
          <w:sz w:val="22"/>
          <w:szCs w:val="22"/>
          <w:shd w:fill="FF4000" w:val="clear"/>
        </w:rPr>
        <w:t>Vercel</w:t>
      </w:r>
      <w:r>
        <w:rPr>
          <w:rFonts w:eastAsia="Arial" w:cs="Arial"/>
          <w:color w:val="1A1A1A"/>
          <w:sz w:val="22"/>
          <w:szCs w:val="22"/>
        </w:rPr>
        <w:t xml:space="preserve"> (frontend) + </w:t>
      </w:r>
      <w:r>
        <w:rPr>
          <w:rFonts w:eastAsia="Arial" w:cs="Arial"/>
          <w:color w:val="1A1A1A"/>
          <w:sz w:val="22"/>
          <w:szCs w:val="22"/>
          <w:shd w:fill="FF4000" w:val="clear"/>
        </w:rPr>
        <w:t>Render</w:t>
      </w:r>
      <w:r>
        <w:rPr>
          <w:rFonts w:eastAsia="Arial" w:cs="Arial"/>
          <w:color w:val="1A1A1A"/>
          <w:sz w:val="22"/>
          <w:szCs w:val="22"/>
        </w:rPr>
        <w:t xml:space="preserve"> or Railway (CMS/API backend). </w:t>
      </w:r>
      <w:r>
        <w:rPr>
          <w:rFonts w:eastAsia="Arial" w:cs="Arial"/>
          <w:color w:val="1A1A1A"/>
          <w:sz w:val="22"/>
          <w:szCs w:val="22"/>
          <w:shd w:fill="FF4000" w:val="clear"/>
        </w:rPr>
        <w:t>Cloudflare</w:t>
      </w:r>
      <w:r>
        <w:rPr>
          <w:rFonts w:eastAsia="Arial" w:cs="Arial"/>
          <w:color w:val="1A1A1A"/>
          <w:sz w:val="22"/>
          <w:szCs w:val="22"/>
        </w:rPr>
        <w:t xml:space="preserve"> free CDN in front of all assets.</w:t>
      </w:r>
    </w:p>
    <w:p>
      <w:pPr>
        <w:pStyle w:val="Normal"/>
        <w:spacing w:before="0" w:after="80"/>
        <w:rPr/>
      </w:pPr>
      <w:r>
        <w:rPr>
          <w:rFonts w:eastAsia="Arial" w:cs="Arial"/>
          <w:b/>
          <w:bCs/>
          <w:color w:val="1A1A1A"/>
          <w:sz w:val="22"/>
          <w:szCs w:val="22"/>
        </w:rPr>
        <w:t xml:space="preserve">Email: </w:t>
      </w:r>
      <w:r>
        <w:rPr>
          <w:rFonts w:eastAsia="Arial" w:cs="Arial"/>
          <w:color w:val="1A1A1A"/>
          <w:sz w:val="22"/>
          <w:szCs w:val="22"/>
        </w:rPr>
        <w:t>Brevo (free up to 9,000 emails/month) for newsletter and transactional email.</w:t>
      </w:r>
    </w:p>
    <w:p>
      <w:pPr>
        <w:pStyle w:val="Normal"/>
        <w:spacing w:before="0" w:after="80"/>
        <w:rPr/>
      </w:pPr>
      <w:r>
        <w:rPr>
          <w:rFonts w:eastAsia="Arial" w:cs="Arial"/>
          <w:b/>
          <w:bCs/>
          <w:color w:val="1A1A1A"/>
          <w:sz w:val="22"/>
          <w:szCs w:val="22"/>
        </w:rPr>
        <w:t xml:space="preserve">Open data: </w:t>
      </w:r>
      <w:r>
        <w:rPr>
          <w:rFonts w:eastAsia="Arial" w:cs="Arial"/>
          <w:color w:val="1A1A1A"/>
          <w:sz w:val="22"/>
          <w:szCs w:val="22"/>
          <w:shd w:fill="FF4000" w:val="clear"/>
        </w:rPr>
        <w:t>CKAN</w:t>
      </w:r>
      <w:r>
        <w:rPr>
          <w:rFonts w:eastAsia="Arial" w:cs="Arial"/>
          <w:color w:val="1A1A1A"/>
          <w:sz w:val="22"/>
          <w:szCs w:val="22"/>
        </w:rPr>
        <w:t xml:space="preserve"> 2.10 self-hosted on data.niser.gov.ng subdomain.</w:t>
      </w:r>
    </w:p>
    <w:p>
      <w:pPr>
        <w:pStyle w:val="Normal"/>
        <w:spacing w:before="0" w:after="80"/>
        <w:rPr/>
      </w:pPr>
      <w:r>
        <w:rPr>
          <w:rFonts w:eastAsia="Arial" w:cs="Arial"/>
          <w:b/>
          <w:bCs/>
          <w:color w:val="1A1A1A"/>
          <w:sz w:val="22"/>
          <w:szCs w:val="22"/>
        </w:rPr>
        <w:t xml:space="preserve">Analytics: </w:t>
      </w:r>
      <w:r>
        <w:rPr>
          <w:rFonts w:eastAsia="Arial" w:cs="Arial"/>
          <w:color w:val="1A1A1A"/>
          <w:sz w:val="22"/>
          <w:szCs w:val="22"/>
          <w:shd w:fill="FF4000" w:val="clear"/>
        </w:rPr>
        <w:t>Plausible Analytics</w:t>
      </w:r>
      <w:r>
        <w:rPr>
          <w:rFonts w:eastAsia="Arial" w:cs="Arial"/>
          <w:color w:val="1A1A1A"/>
          <w:sz w:val="22"/>
          <w:szCs w:val="22"/>
        </w:rPr>
        <w:t xml:space="preserve"> ($9/month or free self-hosted) — NDPR compliant, no cookie banner required.</w:t>
      </w:r>
    </w:p>
    <w:p>
      <w:pPr>
        <w:pStyle w:val="Normal"/>
        <w:spacing w:before="0" w:after="120"/>
        <w:rPr/>
      </w:pPr>
      <w:r>
        <w:rPr>
          <w:rFonts w:eastAsia="Arial" w:cs="Arial"/>
          <w:b/>
          <w:bCs/>
          <w:color w:val="1A1A1A"/>
          <w:sz w:val="22"/>
          <w:szCs w:val="22"/>
        </w:rPr>
        <w:t xml:space="preserve">AI infrastructure (new in v1.1): </w:t>
      </w:r>
      <w:r>
        <w:rPr>
          <w:rFonts w:eastAsia="Arial" w:cs="Arial"/>
          <w:color w:val="1A1A1A"/>
          <w:sz w:val="22"/>
          <w:szCs w:val="22"/>
          <w:shd w:fill="FF4000" w:val="clear"/>
        </w:rPr>
        <w:t>Qdrant vector database</w:t>
      </w:r>
      <w:r>
        <w:rPr>
          <w:rFonts w:eastAsia="Arial" w:cs="Arial"/>
          <w:color w:val="1A1A1A"/>
          <w:sz w:val="22"/>
          <w:szCs w:val="22"/>
        </w:rPr>
        <w:t xml:space="preserve"> (self-hosted), </w:t>
      </w:r>
      <w:r>
        <w:rPr>
          <w:rFonts w:eastAsia="Arial" w:cs="Arial"/>
          <w:color w:val="1A1A1A"/>
          <w:sz w:val="22"/>
          <w:szCs w:val="22"/>
          <w:shd w:fill="FF4000" w:val="clear"/>
        </w:rPr>
        <w:t>sentence-transformers embedding model</w:t>
      </w:r>
      <w:r>
        <w:rPr>
          <w:rFonts w:eastAsia="Arial" w:cs="Arial"/>
          <w:color w:val="1A1A1A"/>
          <w:sz w:val="22"/>
          <w:szCs w:val="22"/>
        </w:rPr>
        <w:t>, Claude API or Llama 3 (self-hosted) LLM. See Section 9 for full detail.</w:t>
      </w:r>
    </w:p>
    <w:p>
      <w:pPr>
        <w:pStyle w:val="Heading1"/>
        <w:spacing w:before="140" w:after="80"/>
        <w:rPr/>
      </w:pPr>
      <w:r>
        <w:rPr>
          <w:rFonts w:eastAsia="Arial" w:cs="Arial" w:ascii="Arial" w:hAnsi="Arial"/>
          <w:b/>
          <w:bCs/>
          <w:color w:val="854F0B"/>
          <w:sz w:val="22"/>
          <w:szCs w:val="22"/>
        </w:rPr>
        <w:t>2. Content Architecture</w:t>
      </w:r>
    </w:p>
    <w:p>
      <w:pPr>
        <w:pStyle w:val="Normal"/>
        <w:spacing w:before="0" w:after="120"/>
        <w:rPr/>
      </w:pPr>
      <w:r>
        <w:rPr>
          <w:rFonts w:eastAsia="Arial" w:cs="Arial"/>
          <w:color w:val="1A1A1A"/>
          <w:sz w:val="22"/>
          <w:szCs w:val="22"/>
        </w:rPr>
        <w:tab/>
        <w:t>Thirteen structured content types form the CMS data model. Key types: Publication (14 fields including DOI, authors, abstract, PDF), Researcher (13 fields including ORCID, photo, bio), Insight/Policy Brief (10 fields including body, social summary, related publications), Event (date, location, registration URL, recording), Dataset (linked from CKAN API), Research Division, and News. Full field specifications are documented in the companion Implementation Plan v1.0.</w:t>
      </w:r>
    </w:p>
    <w:p>
      <w:pPr>
        <w:pStyle w:val="Heading1"/>
        <w:spacing w:before="140" w:after="80"/>
        <w:rPr/>
      </w:pPr>
      <w:r>
        <w:rPr>
          <w:rFonts w:eastAsia="Arial" w:cs="Arial" w:ascii="Arial" w:hAnsi="Arial"/>
          <w:b/>
          <w:bCs/>
          <w:color w:val="854F0B"/>
          <w:sz w:val="22"/>
          <w:szCs w:val="22"/>
        </w:rPr>
        <w:t>3. Site Architecture &amp; URL Structure</w:t>
      </w:r>
    </w:p>
    <w:p>
      <w:pPr>
        <w:pStyle w:val="Normal"/>
        <w:spacing w:before="0" w:after="120"/>
        <w:rPr/>
      </w:pPr>
      <w:r>
        <w:rPr>
          <w:rFonts w:eastAsia="Arial" w:cs="Arial"/>
          <w:color w:val="1A1A1A"/>
          <w:sz w:val="22"/>
          <w:szCs w:val="22"/>
        </w:rPr>
        <w:tab/>
        <w:t>All routes are statically generated (SSG) or incrementally regenerated (ISR) via on-demand webhook revalidation triggered by CMS content publication. Key routes: / (ISR 1hr), /publications (SSG + client filter), /publications/[slug] (SSG), /people/[slug] (SSG), /insights/[slug] (ISR 6hr), /data (ISR 24hr via CKAN API), /events (ISR 1hr), /search (client-side Algolia/Meilisearch), /api/chatbot (new — serverless streaming endpoint for AI chatbot).</w:t>
      </w:r>
    </w:p>
    <w:p>
      <w:pPr>
        <w:pStyle w:val="Heading1"/>
        <w:spacing w:before="140" w:after="80"/>
        <w:rPr/>
      </w:pPr>
      <w:r>
        <w:rPr>
          <w:rFonts w:eastAsia="Arial" w:cs="Arial" w:ascii="Arial" w:hAnsi="Arial"/>
          <w:b/>
          <w:bCs/>
          <w:color w:val="854F0B"/>
          <w:sz w:val="22"/>
          <w:szCs w:val="22"/>
        </w:rPr>
        <w:t>4. Implementation Phases</w:t>
      </w:r>
    </w:p>
    <w:p>
      <w:pPr>
        <w:pStyle w:val="Heading2"/>
        <w:spacing w:before="140" w:after="80"/>
        <w:rPr/>
      </w:pPr>
      <w:r>
        <w:rPr>
          <w:rFonts w:eastAsia="Arial" w:cs="Arial" w:ascii="Arial" w:hAnsi="Arial"/>
          <w:b/>
          <w:bCs/>
          <w:color w:val="854F0B"/>
          <w:sz w:val="22"/>
          <w:szCs w:val="22"/>
        </w:rPr>
        <w:t>Phase 1 — Emergency Triage (Days 1–30, $0)</w:t>
      </w:r>
    </w:p>
    <w:tbl>
      <w:tblPr>
        <w:tblW w:w="9360" w:type="dxa"/>
        <w:jc w:val="start"/>
        <w:tblInd w:w="0" w:type="dxa"/>
        <w:tblLayout w:type="fixed"/>
        <w:tblCellMar>
          <w:top w:w="80" w:type="dxa"/>
          <w:start w:w="120" w:type="dxa"/>
          <w:bottom w:w="80" w:type="dxa"/>
          <w:end w:w="120" w:type="dxa"/>
        </w:tblCellMar>
      </w:tblPr>
      <w:tblGrid>
        <w:gridCol w:w="399"/>
        <w:gridCol w:w="3561"/>
        <w:gridCol w:w="1559"/>
        <w:gridCol w:w="1400"/>
        <w:gridCol w:w="2441"/>
      </w:tblGrid>
      <w:tr>
        <w:trPr/>
        <w:tc>
          <w:tcPr>
            <w:tcW w:w="3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w:t>
            </w:r>
          </w:p>
        </w:tc>
        <w:tc>
          <w:tcPr>
            <w:tcW w:w="35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Action</w:t>
            </w:r>
          </w:p>
        </w:tc>
        <w:tc>
          <w:tcPr>
            <w:tcW w:w="155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Owner</w:t>
            </w:r>
          </w:p>
        </w:tc>
        <w:tc>
          <w:tcPr>
            <w:tcW w:w="14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Duration</w:t>
            </w:r>
          </w:p>
        </w:tc>
        <w:tc>
          <w:tcPr>
            <w:tcW w:w="244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Outcome</w:t>
            </w:r>
          </w:p>
        </w:tc>
      </w:tr>
      <w:tr>
        <w:trPr/>
        <w:tc>
          <w:tcPr>
            <w:tcW w:w="399" w:type="dxa"/>
            <w:tcBorders>
              <w:top w:val="single" w:sz="2" w:space="0" w:color="185FA5"/>
              <w:start w:val="single" w:sz="2" w:space="0" w:color="185FA5"/>
              <w:bottom w:val="single" w:sz="2" w:space="0" w:color="185FA5"/>
              <w:end w:val="single" w:sz="2" w:space="0" w:color="185FA5"/>
            </w:tcBorders>
            <w:shd w:fill="185FA5" w:val="clear"/>
            <w:tcMar>
              <w:start w:w="80" w:type="dxa"/>
              <w:end w:w="80" w:type="dxa"/>
            </w:tcMar>
            <w:vAlign w:val="center"/>
          </w:tcPr>
          <w:p>
            <w:pPr>
              <w:pStyle w:val="Normal"/>
              <w:jc w:val="center"/>
              <w:rPr/>
            </w:pPr>
            <w:r>
              <w:rPr>
                <w:rFonts w:eastAsia="Arial" w:cs="Arial"/>
                <w:b/>
                <w:bCs/>
                <w:color w:val="FFFFFF"/>
                <w:sz w:val="20"/>
                <w:szCs w:val="20"/>
              </w:rPr>
              <w:t>1</w:t>
            </w:r>
          </w:p>
        </w:tc>
        <w:tc>
          <w:tcPr>
            <w:tcW w:w="35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Compress all images to WebP; add lazy loading</w:t>
            </w:r>
          </w:p>
        </w:tc>
        <w:tc>
          <w:tcPr>
            <w:tcW w:w="155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IT Unit</w:t>
            </w:r>
          </w:p>
        </w:tc>
        <w:tc>
          <w:tcPr>
            <w:tcW w:w="14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2 days</w:t>
            </w:r>
          </w:p>
        </w:tc>
        <w:tc>
          <w:tcPr>
            <w:tcW w:w="244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color w:val="0F6E56"/>
                <w:sz w:val="20"/>
                <w:szCs w:val="20"/>
              </w:rPr>
              <w:t>40–60% load time reduction</w:t>
            </w:r>
          </w:p>
        </w:tc>
      </w:tr>
      <w:tr>
        <w:trPr/>
        <w:tc>
          <w:tcPr>
            <w:tcW w:w="399" w:type="dxa"/>
            <w:tcBorders>
              <w:top w:val="single" w:sz="2" w:space="0" w:color="185FA5"/>
              <w:start w:val="single" w:sz="2" w:space="0" w:color="185FA5"/>
              <w:bottom w:val="single" w:sz="2" w:space="0" w:color="185FA5"/>
              <w:end w:val="single" w:sz="2" w:space="0" w:color="185FA5"/>
            </w:tcBorders>
            <w:shd w:fill="185FA5" w:val="clear"/>
            <w:tcMar>
              <w:start w:w="80" w:type="dxa"/>
              <w:end w:w="80" w:type="dxa"/>
            </w:tcMar>
            <w:vAlign w:val="center"/>
          </w:tcPr>
          <w:p>
            <w:pPr>
              <w:pStyle w:val="Normal"/>
              <w:jc w:val="center"/>
              <w:rPr/>
            </w:pPr>
            <w:r>
              <w:rPr>
                <w:rFonts w:eastAsia="Arial" w:cs="Arial"/>
                <w:b/>
                <w:bCs/>
                <w:color w:val="FFFFFF"/>
                <w:sz w:val="20"/>
                <w:szCs w:val="20"/>
              </w:rPr>
              <w:t>2</w:t>
            </w:r>
          </w:p>
        </w:tc>
        <w:tc>
          <w:tcPr>
            <w:tcW w:w="35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Deploy Cloudflare free CDN</w:t>
            </w:r>
          </w:p>
        </w:tc>
        <w:tc>
          <w:tcPr>
            <w:tcW w:w="155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IT Unit</w:t>
            </w:r>
          </w:p>
        </w:tc>
        <w:tc>
          <w:tcPr>
            <w:tcW w:w="14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Half day</w:t>
            </w:r>
          </w:p>
        </w:tc>
        <w:tc>
          <w:tcPr>
            <w:tcW w:w="244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color w:val="0F6E56"/>
                <w:sz w:val="20"/>
                <w:szCs w:val="20"/>
              </w:rPr>
              <w:t>Edge caching active; HTTPS enforced</w:t>
            </w:r>
          </w:p>
        </w:tc>
      </w:tr>
      <w:tr>
        <w:trPr/>
        <w:tc>
          <w:tcPr>
            <w:tcW w:w="399" w:type="dxa"/>
            <w:tcBorders>
              <w:top w:val="single" w:sz="2" w:space="0" w:color="185FA5"/>
              <w:start w:val="single" w:sz="2" w:space="0" w:color="185FA5"/>
              <w:bottom w:val="single" w:sz="2" w:space="0" w:color="185FA5"/>
              <w:end w:val="single" w:sz="2" w:space="0" w:color="185FA5"/>
            </w:tcBorders>
            <w:shd w:fill="185FA5" w:val="clear"/>
            <w:tcMar>
              <w:start w:w="80" w:type="dxa"/>
              <w:end w:w="80" w:type="dxa"/>
            </w:tcMar>
            <w:vAlign w:val="center"/>
          </w:tcPr>
          <w:p>
            <w:pPr>
              <w:pStyle w:val="Normal"/>
              <w:jc w:val="center"/>
              <w:rPr/>
            </w:pPr>
            <w:r>
              <w:rPr>
                <w:rFonts w:eastAsia="Arial" w:cs="Arial"/>
                <w:b/>
                <w:bCs/>
                <w:color w:val="FFFFFF"/>
                <w:sz w:val="20"/>
                <w:szCs w:val="20"/>
              </w:rPr>
              <w:t>3</w:t>
            </w:r>
          </w:p>
        </w:tc>
        <w:tc>
          <w:tcPr>
            <w:tcW w:w="35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Integrate Google Programmable Search</w:t>
            </w:r>
          </w:p>
        </w:tc>
        <w:tc>
          <w:tcPr>
            <w:tcW w:w="155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IT Unit</w:t>
            </w:r>
          </w:p>
        </w:tc>
        <w:tc>
          <w:tcPr>
            <w:tcW w:w="14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3 hours</w:t>
            </w:r>
          </w:p>
        </w:tc>
        <w:tc>
          <w:tcPr>
            <w:tcW w:w="244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color w:val="0F6E56"/>
                <w:sz w:val="20"/>
                <w:szCs w:val="20"/>
              </w:rPr>
              <w:t>Search functional — zero cost</w:t>
            </w:r>
          </w:p>
        </w:tc>
      </w:tr>
      <w:tr>
        <w:trPr/>
        <w:tc>
          <w:tcPr>
            <w:tcW w:w="399" w:type="dxa"/>
            <w:tcBorders>
              <w:top w:val="single" w:sz="2" w:space="0" w:color="185FA5"/>
              <w:start w:val="single" w:sz="2" w:space="0" w:color="185FA5"/>
              <w:bottom w:val="single" w:sz="2" w:space="0" w:color="185FA5"/>
              <w:end w:val="single" w:sz="2" w:space="0" w:color="185FA5"/>
            </w:tcBorders>
            <w:shd w:fill="185FA5" w:val="clear"/>
            <w:tcMar>
              <w:start w:w="80" w:type="dxa"/>
              <w:end w:w="80" w:type="dxa"/>
            </w:tcMar>
            <w:vAlign w:val="center"/>
          </w:tcPr>
          <w:p>
            <w:pPr>
              <w:pStyle w:val="Normal"/>
              <w:jc w:val="center"/>
              <w:rPr/>
            </w:pPr>
            <w:r>
              <w:rPr>
                <w:rFonts w:eastAsia="Arial" w:cs="Arial"/>
                <w:b/>
                <w:bCs/>
                <w:color w:val="FFFFFF"/>
                <w:sz w:val="20"/>
                <w:szCs w:val="20"/>
              </w:rPr>
              <w:t>4</w:t>
            </w:r>
          </w:p>
        </w:tc>
        <w:tc>
          <w:tcPr>
            <w:tcW w:w="35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 xml:space="preserve">Launch </w:t>
            </w:r>
            <w:r>
              <w:rPr>
                <w:rFonts w:eastAsia="Arial" w:cs="Arial"/>
                <w:color w:val="1A1A1A"/>
                <w:sz w:val="20"/>
                <w:szCs w:val="20"/>
                <w:shd w:fill="FF4000" w:val="clear"/>
              </w:rPr>
              <w:t>Brevo</w:t>
            </w:r>
            <w:r>
              <w:rPr>
                <w:rFonts w:eastAsia="Arial" w:cs="Arial"/>
                <w:color w:val="1A1A1A"/>
                <w:sz w:val="20"/>
                <w:szCs w:val="20"/>
              </w:rPr>
              <w:t xml:space="preserve"> newsletter + subscribe form</w:t>
            </w:r>
          </w:p>
        </w:tc>
        <w:tc>
          <w:tcPr>
            <w:tcW w:w="155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Communications</w:t>
            </w:r>
          </w:p>
        </w:tc>
        <w:tc>
          <w:tcPr>
            <w:tcW w:w="14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1 day</w:t>
            </w:r>
          </w:p>
        </w:tc>
        <w:tc>
          <w:tcPr>
            <w:tcW w:w="244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color w:val="0F6E56"/>
                <w:sz w:val="20"/>
                <w:szCs w:val="20"/>
              </w:rPr>
              <w:t>Audience capture begins</w:t>
            </w:r>
          </w:p>
        </w:tc>
      </w:tr>
      <w:tr>
        <w:trPr/>
        <w:tc>
          <w:tcPr>
            <w:tcW w:w="399" w:type="dxa"/>
            <w:tcBorders>
              <w:top w:val="single" w:sz="2" w:space="0" w:color="185FA5"/>
              <w:start w:val="single" w:sz="2" w:space="0" w:color="185FA5"/>
              <w:bottom w:val="single" w:sz="2" w:space="0" w:color="185FA5"/>
              <w:end w:val="single" w:sz="2" w:space="0" w:color="185FA5"/>
            </w:tcBorders>
            <w:shd w:fill="185FA5" w:val="clear"/>
            <w:tcMar>
              <w:start w:w="80" w:type="dxa"/>
              <w:end w:w="80" w:type="dxa"/>
            </w:tcMar>
            <w:vAlign w:val="center"/>
          </w:tcPr>
          <w:p>
            <w:pPr>
              <w:pStyle w:val="Normal"/>
              <w:jc w:val="center"/>
              <w:rPr/>
            </w:pPr>
            <w:r>
              <w:rPr>
                <w:rFonts w:eastAsia="Arial" w:cs="Arial"/>
                <w:b/>
                <w:bCs/>
                <w:color w:val="FFFFFF"/>
                <w:sz w:val="20"/>
                <w:szCs w:val="20"/>
              </w:rPr>
              <w:t>5</w:t>
            </w:r>
          </w:p>
        </w:tc>
        <w:tc>
          <w:tcPr>
            <w:tcW w:w="35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Add alt text to all images; set lang=en; skip-nav</w:t>
            </w:r>
          </w:p>
        </w:tc>
        <w:tc>
          <w:tcPr>
            <w:tcW w:w="155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IT Unit</w:t>
            </w:r>
          </w:p>
        </w:tc>
        <w:tc>
          <w:tcPr>
            <w:tcW w:w="14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2–4 days</w:t>
            </w:r>
          </w:p>
        </w:tc>
        <w:tc>
          <w:tcPr>
            <w:tcW w:w="244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color w:val="0F6E56"/>
                <w:sz w:val="20"/>
                <w:szCs w:val="20"/>
              </w:rPr>
              <w:t>WCAG Level A baseline met</w:t>
            </w:r>
          </w:p>
        </w:tc>
      </w:tr>
      <w:tr>
        <w:trPr/>
        <w:tc>
          <w:tcPr>
            <w:tcW w:w="399" w:type="dxa"/>
            <w:tcBorders>
              <w:top w:val="single" w:sz="2" w:space="0" w:color="185FA5"/>
              <w:start w:val="single" w:sz="2" w:space="0" w:color="185FA5"/>
              <w:bottom w:val="single" w:sz="2" w:space="0" w:color="185FA5"/>
              <w:end w:val="single" w:sz="2" w:space="0" w:color="185FA5"/>
            </w:tcBorders>
            <w:shd w:fill="185FA5" w:val="clear"/>
            <w:tcMar>
              <w:start w:w="80" w:type="dxa"/>
              <w:end w:w="80" w:type="dxa"/>
            </w:tcMar>
            <w:vAlign w:val="center"/>
          </w:tcPr>
          <w:p>
            <w:pPr>
              <w:pStyle w:val="Normal"/>
              <w:jc w:val="center"/>
              <w:rPr/>
            </w:pPr>
            <w:r>
              <w:rPr>
                <w:rFonts w:eastAsia="Arial" w:cs="Arial"/>
                <w:b/>
                <w:bCs/>
                <w:color w:val="FFFFFF"/>
                <w:sz w:val="20"/>
                <w:szCs w:val="20"/>
              </w:rPr>
              <w:t>6</w:t>
            </w:r>
          </w:p>
        </w:tc>
        <w:tc>
          <w:tcPr>
            <w:tcW w:w="35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Archive stale homepage news; set editorial schedule</w:t>
            </w:r>
          </w:p>
        </w:tc>
        <w:tc>
          <w:tcPr>
            <w:tcW w:w="155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Communications</w:t>
            </w:r>
          </w:p>
        </w:tc>
        <w:tc>
          <w:tcPr>
            <w:tcW w:w="14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1 day</w:t>
            </w:r>
          </w:p>
        </w:tc>
        <w:tc>
          <w:tcPr>
            <w:tcW w:w="244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color w:val="0F6E56"/>
                <w:sz w:val="20"/>
                <w:szCs w:val="20"/>
              </w:rPr>
              <w:t>No content older than 3 months on homepage</w:t>
            </w:r>
          </w:p>
        </w:tc>
      </w:tr>
      <w:tr>
        <w:trPr/>
        <w:tc>
          <w:tcPr>
            <w:tcW w:w="399" w:type="dxa"/>
            <w:tcBorders>
              <w:top w:val="single" w:sz="2" w:space="0" w:color="185FA5"/>
              <w:start w:val="single" w:sz="2" w:space="0" w:color="185FA5"/>
              <w:bottom w:val="single" w:sz="2" w:space="0" w:color="185FA5"/>
              <w:end w:val="single" w:sz="2" w:space="0" w:color="185FA5"/>
            </w:tcBorders>
            <w:shd w:fill="185FA5" w:val="clear"/>
            <w:tcMar>
              <w:start w:w="80" w:type="dxa"/>
              <w:end w:w="80" w:type="dxa"/>
            </w:tcMar>
            <w:vAlign w:val="center"/>
          </w:tcPr>
          <w:p>
            <w:pPr>
              <w:pStyle w:val="Normal"/>
              <w:jc w:val="center"/>
              <w:rPr/>
            </w:pPr>
            <w:r>
              <w:rPr>
                <w:rFonts w:eastAsia="Arial" w:cs="Arial"/>
                <w:b/>
                <w:bCs/>
                <w:color w:val="FFFFFF"/>
                <w:sz w:val="20"/>
                <w:szCs w:val="20"/>
              </w:rPr>
              <w:t>7</w:t>
            </w:r>
          </w:p>
        </w:tc>
        <w:tc>
          <w:tcPr>
            <w:tcW w:w="35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Add HTTP security headers via .htaccess</w:t>
            </w:r>
          </w:p>
        </w:tc>
        <w:tc>
          <w:tcPr>
            <w:tcW w:w="155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IT Unit</w:t>
            </w:r>
          </w:p>
        </w:tc>
        <w:tc>
          <w:tcPr>
            <w:tcW w:w="14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30 min</w:t>
            </w:r>
          </w:p>
        </w:tc>
        <w:tc>
          <w:tcPr>
            <w:tcW w:w="244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color w:val="0F6E56"/>
                <w:sz w:val="20"/>
                <w:szCs w:val="20"/>
              </w:rPr>
              <w:t>securityheaders.com grade B+</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Phase 2 — Core Rebuild (Days 31–90, Est. $0)</w:t>
      </w:r>
    </w:p>
    <w:tbl>
      <w:tblPr>
        <w:tblW w:w="9360" w:type="dxa"/>
        <w:jc w:val="start"/>
        <w:tblInd w:w="0" w:type="dxa"/>
        <w:tblLayout w:type="fixed"/>
        <w:tblCellMar>
          <w:top w:w="80" w:type="dxa"/>
          <w:start w:w="120" w:type="dxa"/>
          <w:bottom w:w="80" w:type="dxa"/>
          <w:end w:w="120" w:type="dxa"/>
        </w:tblCellMar>
      </w:tblPr>
      <w:tblGrid>
        <w:gridCol w:w="399"/>
        <w:gridCol w:w="3960"/>
        <w:gridCol w:w="1800"/>
        <w:gridCol w:w="1401"/>
        <w:gridCol w:w="1800"/>
      </w:tblGrid>
      <w:tr>
        <w:trPr/>
        <w:tc>
          <w:tcPr>
            <w:tcW w:w="3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w:t>
            </w:r>
          </w:p>
        </w:tc>
        <w:tc>
          <w:tcPr>
            <w:tcW w:w="396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Deliverable</w:t>
            </w:r>
          </w:p>
        </w:tc>
        <w:tc>
          <w:tcPr>
            <w:tcW w:w="18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Owner</w:t>
            </w:r>
          </w:p>
        </w:tc>
        <w:tc>
          <w:tcPr>
            <w:tcW w:w="140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Duration</w:t>
            </w:r>
          </w:p>
        </w:tc>
        <w:tc>
          <w:tcPr>
            <w:tcW w:w="18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Acceptance criterion</w:t>
            </w:r>
          </w:p>
        </w:tc>
      </w:tr>
      <w:tr>
        <w:trPr/>
        <w:tc>
          <w:tcPr>
            <w:tcW w:w="399" w:type="dxa"/>
            <w:tcBorders>
              <w:top w:val="single" w:sz="2" w:space="0" w:color="D7F0E8"/>
              <w:start w:val="single" w:sz="2" w:space="0" w:color="D7F0E8"/>
              <w:bottom w:val="single" w:sz="2" w:space="0" w:color="D7F0E8"/>
              <w:end w:val="single" w:sz="2" w:space="0" w:color="D7F0E8"/>
            </w:tcBorders>
            <w:shd w:fill="D7F0E8" w:val="clear"/>
            <w:tcMar>
              <w:start w:w="80" w:type="dxa"/>
              <w:end w:w="80" w:type="dxa"/>
            </w:tcMar>
            <w:vAlign w:val="center"/>
          </w:tcPr>
          <w:p>
            <w:pPr>
              <w:pStyle w:val="Normal"/>
              <w:jc w:val="center"/>
              <w:rPr/>
            </w:pPr>
            <w:r>
              <w:rPr>
                <w:rFonts w:eastAsia="Arial" w:cs="Arial"/>
                <w:b/>
                <w:bCs/>
                <w:color w:val="0F6E56"/>
                <w:sz w:val="20"/>
                <w:szCs w:val="20"/>
              </w:rPr>
              <w:t>8</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CMS setup (WordPress headless + WPGraphQL or Payload CMS); content types; migration</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All 13 types created; content migrated</w:t>
            </w:r>
          </w:p>
        </w:tc>
      </w:tr>
      <w:tr>
        <w:trPr/>
        <w:tc>
          <w:tcPr>
            <w:tcW w:w="399" w:type="dxa"/>
            <w:tcBorders>
              <w:top w:val="single" w:sz="2" w:space="0" w:color="D7F0E8"/>
              <w:start w:val="single" w:sz="2" w:space="0" w:color="D7F0E8"/>
              <w:bottom w:val="single" w:sz="2" w:space="0" w:color="D7F0E8"/>
              <w:end w:val="single" w:sz="2" w:space="0" w:color="D7F0E8"/>
            </w:tcBorders>
            <w:shd w:fill="D7F0E8" w:val="clear"/>
            <w:tcMar>
              <w:start w:w="80" w:type="dxa"/>
              <w:end w:w="80" w:type="dxa"/>
            </w:tcMar>
            <w:vAlign w:val="center"/>
          </w:tcPr>
          <w:p>
            <w:pPr>
              <w:pStyle w:val="Normal"/>
              <w:jc w:val="center"/>
              <w:rPr/>
            </w:pPr>
            <w:r>
              <w:rPr>
                <w:rFonts w:eastAsia="Arial" w:cs="Arial"/>
                <w:b/>
                <w:bCs/>
                <w:color w:val="0F6E56"/>
                <w:sz w:val="20"/>
                <w:szCs w:val="20"/>
              </w:rPr>
              <w:t>9</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Next.js scaffold (App Router, TypeScript, Tailwind, CI/CD to Vercel)</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3 days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Lighthouse ≥80 on empty site</w:t>
            </w:r>
          </w:p>
        </w:tc>
      </w:tr>
      <w:tr>
        <w:trPr/>
        <w:tc>
          <w:tcPr>
            <w:tcW w:w="399" w:type="dxa"/>
            <w:tcBorders>
              <w:top w:val="single" w:sz="2" w:space="0" w:color="D7F0E8"/>
              <w:start w:val="single" w:sz="2" w:space="0" w:color="D7F0E8"/>
              <w:bottom w:val="single" w:sz="2" w:space="0" w:color="D7F0E8"/>
              <w:end w:val="single" w:sz="2" w:space="0" w:color="D7F0E8"/>
            </w:tcBorders>
            <w:shd w:fill="D7F0E8" w:val="clear"/>
            <w:tcMar>
              <w:start w:w="80" w:type="dxa"/>
              <w:end w:w="80" w:type="dxa"/>
            </w:tcMar>
            <w:vAlign w:val="center"/>
          </w:tcPr>
          <w:p>
            <w:pPr>
              <w:pStyle w:val="Normal"/>
              <w:jc w:val="center"/>
              <w:rPr/>
            </w:pPr>
            <w:r>
              <w:rPr>
                <w:rFonts w:eastAsia="Arial" w:cs="Arial"/>
                <w:b/>
                <w:bCs/>
                <w:color w:val="0F6E56"/>
                <w:sz w:val="20"/>
                <w:szCs w:val="20"/>
              </w:rPr>
              <w:t>10</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Homepage — hero, pathways, news widget, events, newsletter CTA, featured researcher</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 + Design</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1 week</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LCP &lt;3s on 3G; mobile-responsive at 320px</w:t>
            </w:r>
          </w:p>
        </w:tc>
      </w:tr>
      <w:tr>
        <w:trPr/>
        <w:tc>
          <w:tcPr>
            <w:tcW w:w="399" w:type="dxa"/>
            <w:tcBorders>
              <w:top w:val="single" w:sz="2" w:space="0" w:color="D7F0E8"/>
              <w:start w:val="single" w:sz="2" w:space="0" w:color="D7F0E8"/>
              <w:bottom w:val="single" w:sz="2" w:space="0" w:color="D7F0E8"/>
              <w:end w:val="single" w:sz="2" w:space="0" w:color="D7F0E8"/>
            </w:tcBorders>
            <w:shd w:fill="D7F0E8" w:val="clear"/>
            <w:tcMar>
              <w:start w:w="80" w:type="dxa"/>
              <w:end w:w="80" w:type="dxa"/>
            </w:tcMar>
            <w:vAlign w:val="center"/>
          </w:tcPr>
          <w:p>
            <w:pPr>
              <w:pStyle w:val="Normal"/>
              <w:jc w:val="center"/>
              <w:rPr/>
            </w:pPr>
            <w:r>
              <w:rPr>
                <w:rFonts w:eastAsia="Arial" w:cs="Arial"/>
                <w:b/>
                <w:bCs/>
                <w:color w:val="0F6E56"/>
                <w:sz w:val="20"/>
                <w:szCs w:val="20"/>
              </w:rPr>
              <w:t>11</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 xml:space="preserve">Publications archive — searchable, filtered, </w:t>
            </w:r>
            <w:r>
              <w:rPr>
                <w:rFonts w:eastAsia="Arial" w:cs="Arial"/>
                <w:color w:val="1A1A1A"/>
                <w:sz w:val="19"/>
                <w:szCs w:val="19"/>
                <w:shd w:fill="FF4000" w:val="clear"/>
              </w:rPr>
              <w:t>DOI</w:t>
            </w:r>
            <w:r>
              <w:rPr>
                <w:rFonts w:eastAsia="Arial" w:cs="Arial"/>
                <w:color w:val="1A1A1A"/>
                <w:sz w:val="19"/>
                <w:szCs w:val="19"/>
              </w:rPr>
              <w:t>, PDF download, citation export</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500ms search; all filters work; DOI links resolve</w:t>
            </w:r>
          </w:p>
        </w:tc>
      </w:tr>
      <w:tr>
        <w:trPr/>
        <w:tc>
          <w:tcPr>
            <w:tcW w:w="399" w:type="dxa"/>
            <w:tcBorders>
              <w:top w:val="single" w:sz="2" w:space="0" w:color="D7F0E8"/>
              <w:start w:val="single" w:sz="2" w:space="0" w:color="D7F0E8"/>
              <w:bottom w:val="single" w:sz="2" w:space="0" w:color="D7F0E8"/>
              <w:end w:val="single" w:sz="2" w:space="0" w:color="D7F0E8"/>
            </w:tcBorders>
            <w:shd w:fill="D7F0E8" w:val="clear"/>
            <w:tcMar>
              <w:start w:w="80" w:type="dxa"/>
              <w:end w:w="80" w:type="dxa"/>
            </w:tcMar>
            <w:vAlign w:val="center"/>
          </w:tcPr>
          <w:p>
            <w:pPr>
              <w:pStyle w:val="Normal"/>
              <w:jc w:val="center"/>
              <w:rPr/>
            </w:pPr>
            <w:r>
              <w:rPr>
                <w:rFonts w:eastAsia="Arial" w:cs="Arial"/>
                <w:b/>
                <w:bCs/>
                <w:color w:val="0F6E56"/>
                <w:sz w:val="20"/>
                <w:szCs w:val="20"/>
              </w:rPr>
              <w:t>12</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 xml:space="preserve">Researcher profiles — directory, individual pages, </w:t>
            </w:r>
            <w:r>
              <w:rPr>
                <w:rFonts w:eastAsia="Arial" w:cs="Arial"/>
                <w:color w:val="1A1A1A"/>
                <w:sz w:val="19"/>
                <w:szCs w:val="19"/>
                <w:shd w:fill="FF4000" w:val="clear"/>
              </w:rPr>
              <w:t>ORCID</w:t>
            </w:r>
            <w:r>
              <w:rPr>
                <w:rFonts w:eastAsia="Arial" w:cs="Arial"/>
                <w:color w:val="1A1A1A"/>
                <w:sz w:val="19"/>
                <w:szCs w:val="19"/>
              </w:rPr>
              <w:t xml:space="preserve"> API auto-sync</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1 week</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100% profiles complete; ORCID sync functional</w:t>
            </w:r>
          </w:p>
        </w:tc>
      </w:tr>
      <w:tr>
        <w:trPr/>
        <w:tc>
          <w:tcPr>
            <w:tcW w:w="399" w:type="dxa"/>
            <w:tcBorders>
              <w:top w:val="single" w:sz="2" w:space="0" w:color="D7F0E8"/>
              <w:start w:val="single" w:sz="2" w:space="0" w:color="D7F0E8"/>
              <w:bottom w:val="single" w:sz="2" w:space="0" w:color="D7F0E8"/>
              <w:end w:val="single" w:sz="2" w:space="0" w:color="D7F0E8"/>
            </w:tcBorders>
            <w:shd w:fill="D7F0E8" w:val="clear"/>
            <w:tcMar>
              <w:start w:w="80" w:type="dxa"/>
              <w:end w:w="80" w:type="dxa"/>
            </w:tcMar>
            <w:vAlign w:val="center"/>
          </w:tcPr>
          <w:p>
            <w:pPr>
              <w:pStyle w:val="Normal"/>
              <w:jc w:val="center"/>
              <w:rPr/>
            </w:pPr>
            <w:r>
              <w:rPr>
                <w:rFonts w:eastAsia="Arial" w:cs="Arial"/>
                <w:b/>
                <w:bCs/>
                <w:color w:val="0F6E56"/>
                <w:sz w:val="20"/>
                <w:szCs w:val="20"/>
              </w:rPr>
              <w:t>13</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NISER Perspectives blog — index, posts, author attribution, social share</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1 week</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First 4 posts live; OG cards render correctly</w:t>
            </w:r>
          </w:p>
        </w:tc>
      </w:tr>
      <w:tr>
        <w:trPr/>
        <w:tc>
          <w:tcPr>
            <w:tcW w:w="399" w:type="dxa"/>
            <w:tcBorders>
              <w:top w:val="single" w:sz="2" w:space="0" w:color="D7F0E8"/>
              <w:start w:val="single" w:sz="2" w:space="0" w:color="D7F0E8"/>
              <w:bottom w:val="single" w:sz="2" w:space="0" w:color="D7F0E8"/>
              <w:end w:val="single" w:sz="2" w:space="0" w:color="D7F0E8"/>
            </w:tcBorders>
            <w:shd w:fill="D7F0E8" w:val="clear"/>
            <w:tcMar>
              <w:start w:w="80" w:type="dxa"/>
              <w:end w:w="80" w:type="dxa"/>
            </w:tcMar>
            <w:vAlign w:val="center"/>
          </w:tcPr>
          <w:p>
            <w:pPr>
              <w:pStyle w:val="Normal"/>
              <w:jc w:val="center"/>
              <w:rPr/>
            </w:pPr>
            <w:r>
              <w:rPr>
                <w:rFonts w:eastAsia="Arial" w:cs="Arial"/>
                <w:b/>
                <w:bCs/>
                <w:color w:val="0F6E56"/>
                <w:sz w:val="20"/>
                <w:szCs w:val="20"/>
              </w:rPr>
              <w:t>14</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 xml:space="preserve">Events calendar — upcoming/past, </w:t>
            </w:r>
            <w:r>
              <w:rPr>
                <w:rFonts w:eastAsia="Arial" w:cs="Arial"/>
                <w:color w:val="1A1A1A"/>
                <w:sz w:val="19"/>
                <w:szCs w:val="19"/>
                <w:shd w:fill="FF4000" w:val="clear"/>
              </w:rPr>
              <w:t>iCal</w:t>
            </w:r>
            <w:r>
              <w:rPr>
                <w:rFonts w:eastAsia="Arial" w:cs="Arial"/>
                <w:color w:val="1A1A1A"/>
                <w:sz w:val="19"/>
                <w:szCs w:val="19"/>
              </w:rPr>
              <w:t xml:space="preserve"> export, post-event archive</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3 days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All upcoming events listed; iCal export works</w:t>
            </w:r>
          </w:p>
        </w:tc>
      </w:tr>
      <w:tr>
        <w:trPr/>
        <w:tc>
          <w:tcPr>
            <w:tcW w:w="399" w:type="dxa"/>
            <w:tcBorders>
              <w:top w:val="single" w:sz="2" w:space="0" w:color="D7F0E8"/>
              <w:start w:val="single" w:sz="2" w:space="0" w:color="D7F0E8"/>
              <w:bottom w:val="single" w:sz="2" w:space="0" w:color="D7F0E8"/>
              <w:end w:val="single" w:sz="2" w:space="0" w:color="D7F0E8"/>
            </w:tcBorders>
            <w:shd w:fill="D7F0E8" w:val="clear"/>
            <w:tcMar>
              <w:start w:w="80" w:type="dxa"/>
              <w:end w:w="80" w:type="dxa"/>
            </w:tcMar>
            <w:vAlign w:val="center"/>
          </w:tcPr>
          <w:p>
            <w:pPr>
              <w:pStyle w:val="Normal"/>
              <w:jc w:val="center"/>
              <w:rPr/>
            </w:pPr>
            <w:r>
              <w:rPr>
                <w:rFonts w:eastAsia="Arial" w:cs="Arial"/>
                <w:b/>
                <w:bCs/>
                <w:color w:val="0F6E56"/>
                <w:sz w:val="20"/>
                <w:szCs w:val="20"/>
              </w:rPr>
              <w:t>15</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Algolia/Meilisearch unified search across all content types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3 days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Results within 200ms across all types</w:t>
            </w:r>
          </w:p>
        </w:tc>
      </w:tr>
      <w:tr>
        <w:trPr/>
        <w:tc>
          <w:tcPr>
            <w:tcW w:w="399"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17"/>
                <w:szCs w:val="17"/>
              </w:rPr>
              <w:t>AI-1</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 xml:space="preserve">Research Chatbot (RAG) — Qdrant vector DB, </w:t>
            </w:r>
            <w:r>
              <w:rPr>
                <w:rFonts w:eastAsia="Arial" w:cs="Arial"/>
                <w:color w:val="1A1A1A"/>
                <w:sz w:val="19"/>
                <w:szCs w:val="19"/>
                <w:shd w:fill="FF4000" w:val="clear"/>
              </w:rPr>
              <w:t>embedding pipeline</w:t>
            </w:r>
            <w:r>
              <w:rPr>
                <w:rFonts w:eastAsia="Arial" w:cs="Arial"/>
                <w:color w:val="1A1A1A"/>
                <w:sz w:val="19"/>
                <w:szCs w:val="19"/>
              </w:rPr>
              <w:t>, streaming chat widget</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80% of test queries answered correctly with citations</w:t>
            </w:r>
          </w:p>
        </w:tc>
      </w:tr>
      <w:tr>
        <w:trPr/>
        <w:tc>
          <w:tcPr>
            <w:tcW w:w="399"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17"/>
                <w:szCs w:val="17"/>
              </w:rPr>
              <w:t>AI-2</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Semantic vector search upgrade — hybrid keyword + dense search</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1 week</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Semantic results within 500ms; toggle functional</w:t>
            </w:r>
          </w:p>
        </w:tc>
      </w:tr>
      <w:tr>
        <w:trPr/>
        <w:tc>
          <w:tcPr>
            <w:tcW w:w="399"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17"/>
                <w:szCs w:val="17"/>
              </w:rPr>
              <w:t>AI-5</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Content recommendations engine — pre-computed nearest neighbours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3 days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Related content appears on all publication pages</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Phase 3 — Knowledge Infrastructure (Days 91–180, Est. $2,000–4,000)</w:t>
      </w:r>
    </w:p>
    <w:tbl>
      <w:tblPr>
        <w:tblW w:w="9360" w:type="dxa"/>
        <w:jc w:val="start"/>
        <w:tblInd w:w="0" w:type="dxa"/>
        <w:tblLayout w:type="fixed"/>
        <w:tblCellMar>
          <w:top w:w="80" w:type="dxa"/>
          <w:start w:w="120" w:type="dxa"/>
          <w:bottom w:w="80" w:type="dxa"/>
          <w:end w:w="120" w:type="dxa"/>
        </w:tblCellMar>
      </w:tblPr>
      <w:tblGrid>
        <w:gridCol w:w="399"/>
        <w:gridCol w:w="3960"/>
        <w:gridCol w:w="1800"/>
        <w:gridCol w:w="1401"/>
        <w:gridCol w:w="1800"/>
      </w:tblGrid>
      <w:tr>
        <w:trPr/>
        <w:tc>
          <w:tcPr>
            <w:tcW w:w="3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w:t>
            </w:r>
          </w:p>
        </w:tc>
        <w:tc>
          <w:tcPr>
            <w:tcW w:w="396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Deliverable</w:t>
            </w:r>
          </w:p>
        </w:tc>
        <w:tc>
          <w:tcPr>
            <w:tcW w:w="18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Owner</w:t>
            </w:r>
          </w:p>
        </w:tc>
        <w:tc>
          <w:tcPr>
            <w:tcW w:w="140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Duration</w:t>
            </w:r>
          </w:p>
        </w:tc>
        <w:tc>
          <w:tcPr>
            <w:tcW w:w="18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Acceptance criterion</w:t>
            </w:r>
          </w:p>
        </w:tc>
      </w:tr>
      <w:tr>
        <w:trPr/>
        <w:tc>
          <w:tcPr>
            <w:tcW w:w="399" w:type="dxa"/>
            <w:tcBorders>
              <w:top w:val="single" w:sz="2" w:space="0" w:color="FAEEDA"/>
              <w:start w:val="single" w:sz="2" w:space="0" w:color="FAEEDA"/>
              <w:bottom w:val="single" w:sz="2" w:space="0" w:color="FAEEDA"/>
              <w:end w:val="single" w:sz="2" w:space="0" w:color="FAEEDA"/>
            </w:tcBorders>
            <w:shd w:fill="FAEEDA" w:val="clear"/>
            <w:tcMar>
              <w:start w:w="80" w:type="dxa"/>
              <w:end w:w="80" w:type="dxa"/>
            </w:tcMar>
            <w:vAlign w:val="center"/>
          </w:tcPr>
          <w:p>
            <w:pPr>
              <w:pStyle w:val="Normal"/>
              <w:jc w:val="center"/>
              <w:rPr/>
            </w:pPr>
            <w:r>
              <w:rPr>
                <w:rFonts w:eastAsia="Arial" w:cs="Arial"/>
                <w:b/>
                <w:bCs/>
                <w:color w:val="854F0B"/>
                <w:sz w:val="20"/>
                <w:szCs w:val="20"/>
              </w:rPr>
              <w:t>16</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 xml:space="preserve">CKAN open data portal — 10 initial datasets with </w:t>
            </w:r>
            <w:r>
              <w:rPr>
                <w:rFonts w:eastAsia="Arial" w:cs="Arial"/>
                <w:color w:val="1A1A1A"/>
                <w:sz w:val="19"/>
                <w:szCs w:val="19"/>
                <w:shd w:fill="FF4000" w:val="clear"/>
              </w:rPr>
              <w:t>codebooks</w:t>
            </w:r>
            <w:r>
              <w:rPr>
                <w:rFonts w:eastAsia="Arial" w:cs="Arial"/>
                <w:color w:val="1A1A1A"/>
                <w:sz w:val="19"/>
                <w:szCs w:val="19"/>
              </w:rPr>
              <w:t>, multi-format downloads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 + Research</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6 weeks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10 datasets live; CKAN API returns valid JSON</w:t>
            </w:r>
          </w:p>
        </w:tc>
      </w:tr>
      <w:tr>
        <w:trPr/>
        <w:tc>
          <w:tcPr>
            <w:tcW w:w="399" w:type="dxa"/>
            <w:tcBorders>
              <w:top w:val="single" w:sz="2" w:space="0" w:color="FAEEDA"/>
              <w:start w:val="single" w:sz="2" w:space="0" w:color="FAEEDA"/>
              <w:bottom w:val="single" w:sz="2" w:space="0" w:color="FAEEDA"/>
              <w:end w:val="single" w:sz="2" w:space="0" w:color="FAEEDA"/>
            </w:tcBorders>
            <w:shd w:fill="FAEEDA" w:val="clear"/>
            <w:tcMar>
              <w:start w:w="80" w:type="dxa"/>
              <w:end w:w="80" w:type="dxa"/>
            </w:tcMar>
            <w:vAlign w:val="center"/>
          </w:tcPr>
          <w:p>
            <w:pPr>
              <w:pStyle w:val="Normal"/>
              <w:jc w:val="center"/>
              <w:rPr/>
            </w:pPr>
            <w:r>
              <w:rPr>
                <w:rFonts w:eastAsia="Arial" w:cs="Arial"/>
                <w:b/>
                <w:bCs/>
                <w:color w:val="854F0B"/>
                <w:sz w:val="20"/>
                <w:szCs w:val="20"/>
              </w:rPr>
              <w:t>17</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WCAG 2.1 AA remediation — professional audit, fixes, accessibility statement</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 + Auditor</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3 weeks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Zero Axe AA failures; screen reader test passes</w:t>
            </w:r>
          </w:p>
        </w:tc>
      </w:tr>
      <w:tr>
        <w:trPr>
          <w:trHeight w:val="1064" w:hRule="atLeast"/>
        </w:trPr>
        <w:tc>
          <w:tcPr>
            <w:tcW w:w="399" w:type="dxa"/>
            <w:tcBorders>
              <w:top w:val="single" w:sz="2" w:space="0" w:color="FAEEDA"/>
              <w:start w:val="single" w:sz="2" w:space="0" w:color="FAEEDA"/>
              <w:bottom w:val="single" w:sz="2" w:space="0" w:color="FAEEDA"/>
              <w:end w:val="single" w:sz="2" w:space="0" w:color="FAEEDA"/>
            </w:tcBorders>
            <w:shd w:fill="FAEEDA" w:val="clear"/>
            <w:tcMar>
              <w:start w:w="80" w:type="dxa"/>
              <w:end w:w="80" w:type="dxa"/>
            </w:tcMar>
            <w:vAlign w:val="center"/>
          </w:tcPr>
          <w:p>
            <w:pPr>
              <w:pStyle w:val="Normal"/>
              <w:jc w:val="center"/>
              <w:rPr/>
            </w:pPr>
            <w:r>
              <w:rPr>
                <w:rFonts w:eastAsia="Arial" w:cs="Arial"/>
                <w:b/>
                <w:bCs/>
                <w:color w:val="854F0B"/>
                <w:sz w:val="20"/>
                <w:szCs w:val="20"/>
              </w:rPr>
              <w:t>18</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shd w:fill="FF4000" w:val="clear"/>
              </w:rPr>
              <w:t>Schema.org</w:t>
            </w:r>
            <w:r>
              <w:rPr>
                <w:rFonts w:eastAsia="Arial" w:cs="Arial"/>
                <w:color w:val="1A1A1A"/>
                <w:sz w:val="19"/>
                <w:szCs w:val="19"/>
              </w:rPr>
              <w:t xml:space="preserve"> structured data — </w:t>
            </w:r>
            <w:r>
              <w:rPr>
                <w:rFonts w:eastAsia="Arial" w:cs="Arial"/>
                <w:color w:val="1A1A1A"/>
                <w:sz w:val="19"/>
                <w:szCs w:val="19"/>
                <w:shd w:fill="FF4000" w:val="clear"/>
              </w:rPr>
              <w:t>ScholarlyArticle</w:t>
            </w:r>
            <w:r>
              <w:rPr>
                <w:rFonts w:eastAsia="Arial" w:cs="Arial"/>
                <w:color w:val="1A1A1A"/>
                <w:sz w:val="19"/>
                <w:szCs w:val="19"/>
              </w:rPr>
              <w:t>, Person, Event, Organization</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1 week</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Google Rich Results Test passes for all types</w:t>
            </w:r>
          </w:p>
        </w:tc>
      </w:tr>
      <w:tr>
        <w:trPr/>
        <w:tc>
          <w:tcPr>
            <w:tcW w:w="399" w:type="dxa"/>
            <w:tcBorders>
              <w:top w:val="single" w:sz="2" w:space="0" w:color="FAEEDA"/>
              <w:start w:val="single" w:sz="2" w:space="0" w:color="FAEEDA"/>
              <w:bottom w:val="single" w:sz="2" w:space="0" w:color="FAEEDA"/>
              <w:end w:val="single" w:sz="2" w:space="0" w:color="FAEEDA"/>
            </w:tcBorders>
            <w:shd w:fill="FAEEDA" w:val="clear"/>
            <w:tcMar>
              <w:start w:w="80" w:type="dxa"/>
              <w:end w:w="80" w:type="dxa"/>
            </w:tcMar>
            <w:vAlign w:val="center"/>
          </w:tcPr>
          <w:p>
            <w:pPr>
              <w:pStyle w:val="Normal"/>
              <w:jc w:val="center"/>
              <w:rPr/>
            </w:pPr>
            <w:r>
              <w:rPr>
                <w:rFonts w:eastAsia="Arial" w:cs="Arial"/>
                <w:b/>
                <w:bCs/>
                <w:color w:val="854F0B"/>
                <w:sz w:val="20"/>
                <w:szCs w:val="20"/>
              </w:rPr>
              <w:t>19</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Research division landing pages — team, projects, publications, contact</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 + Research</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All divisions with ≥3 active projects listed</w:t>
            </w:r>
          </w:p>
        </w:tc>
      </w:tr>
      <w:tr>
        <w:trPr/>
        <w:tc>
          <w:tcPr>
            <w:tcW w:w="399" w:type="dxa"/>
            <w:tcBorders>
              <w:top w:val="single" w:sz="2" w:space="0" w:color="FAEEDA"/>
              <w:start w:val="single" w:sz="2" w:space="0" w:color="FAEEDA"/>
              <w:bottom w:val="single" w:sz="2" w:space="0" w:color="FAEEDA"/>
              <w:end w:val="single" w:sz="2" w:space="0" w:color="FAEEDA"/>
            </w:tcBorders>
            <w:shd w:fill="FAEEDA" w:val="clear"/>
            <w:tcMar>
              <w:start w:w="80" w:type="dxa"/>
              <w:end w:w="80" w:type="dxa"/>
            </w:tcMar>
            <w:vAlign w:val="center"/>
          </w:tcPr>
          <w:p>
            <w:pPr>
              <w:pStyle w:val="Normal"/>
              <w:jc w:val="center"/>
              <w:rPr/>
            </w:pPr>
            <w:r>
              <w:rPr>
                <w:rFonts w:eastAsia="Arial" w:cs="Arial"/>
                <w:b/>
                <w:bCs/>
                <w:color w:val="854F0B"/>
                <w:sz w:val="20"/>
                <w:szCs w:val="20"/>
              </w:rPr>
              <w:t>20</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NDPR privacy policy + cookie consent + data audit</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Legal + Developer</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1 week</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Policy live; no undisclosed data collection</w:t>
            </w:r>
          </w:p>
        </w:tc>
      </w:tr>
      <w:tr>
        <w:trPr/>
        <w:tc>
          <w:tcPr>
            <w:tcW w:w="399" w:type="dxa"/>
            <w:tcBorders>
              <w:top w:val="single" w:sz="2" w:space="0" w:color="FAEEDA"/>
              <w:start w:val="single" w:sz="2" w:space="0" w:color="FAEEDA"/>
              <w:bottom w:val="single" w:sz="2" w:space="0" w:color="FAEEDA"/>
              <w:end w:val="single" w:sz="2" w:space="0" w:color="FAEEDA"/>
            </w:tcBorders>
            <w:shd w:fill="FAEEDA" w:val="clear"/>
            <w:tcMar>
              <w:start w:w="80" w:type="dxa"/>
              <w:end w:w="80" w:type="dxa"/>
            </w:tcMar>
            <w:vAlign w:val="center"/>
          </w:tcPr>
          <w:p>
            <w:pPr>
              <w:pStyle w:val="Normal"/>
              <w:jc w:val="center"/>
              <w:rPr/>
            </w:pPr>
            <w:r>
              <w:rPr>
                <w:rFonts w:eastAsia="Arial" w:cs="Arial"/>
                <w:b/>
                <w:bCs/>
                <w:color w:val="854F0B"/>
                <w:sz w:val="20"/>
                <w:szCs w:val="20"/>
              </w:rPr>
              <w:t>21</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Sitemap.xml + robots.txt — submitted to Google Search Console</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1 day</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Zero crawl errors in Search Console</w:t>
            </w:r>
          </w:p>
        </w:tc>
      </w:tr>
      <w:tr>
        <w:trPr/>
        <w:tc>
          <w:tcPr>
            <w:tcW w:w="399"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17"/>
                <w:szCs w:val="17"/>
              </w:rPr>
              <w:t>AI-3</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Policy Brief Generator — CMS-integrated AI draft tool for researchers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Draft brief generated in &lt;60s; audit log active</w:t>
            </w:r>
          </w:p>
        </w:tc>
      </w:tr>
      <w:tr>
        <w:trPr/>
        <w:tc>
          <w:tcPr>
            <w:tcW w:w="399"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17"/>
                <w:szCs w:val="17"/>
              </w:rPr>
              <w:t>AI-4</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Literature Review Assistant — RAG-powered synthesis tool for researchers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Structured review returned in &lt;3 min; researcher-only access confirmed</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Phase 4 — Engagement &amp; Sustainability (Days 181–365, Est. $1,500–3,000)</w:t>
      </w:r>
    </w:p>
    <w:tbl>
      <w:tblPr>
        <w:tblW w:w="9360" w:type="dxa"/>
        <w:jc w:val="start"/>
        <w:tblInd w:w="0" w:type="dxa"/>
        <w:tblLayout w:type="fixed"/>
        <w:tblCellMar>
          <w:top w:w="80" w:type="dxa"/>
          <w:start w:w="120" w:type="dxa"/>
          <w:bottom w:w="80" w:type="dxa"/>
          <w:end w:w="120" w:type="dxa"/>
        </w:tblCellMar>
      </w:tblPr>
      <w:tblGrid>
        <w:gridCol w:w="399"/>
        <w:gridCol w:w="3960"/>
        <w:gridCol w:w="1800"/>
        <w:gridCol w:w="1401"/>
        <w:gridCol w:w="1800"/>
      </w:tblGrid>
      <w:tr>
        <w:trPr/>
        <w:tc>
          <w:tcPr>
            <w:tcW w:w="3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w:t>
            </w:r>
          </w:p>
        </w:tc>
        <w:tc>
          <w:tcPr>
            <w:tcW w:w="396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Deliverable</w:t>
            </w:r>
          </w:p>
        </w:tc>
        <w:tc>
          <w:tcPr>
            <w:tcW w:w="18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Owner</w:t>
            </w:r>
          </w:p>
        </w:tc>
        <w:tc>
          <w:tcPr>
            <w:tcW w:w="140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Duration</w:t>
            </w:r>
          </w:p>
        </w:tc>
        <w:tc>
          <w:tcPr>
            <w:tcW w:w="18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Acceptance criterion</w:t>
            </w:r>
          </w:p>
        </w:tc>
      </w:tr>
      <w:tr>
        <w:trPr/>
        <w:tc>
          <w:tcPr>
            <w:tcW w:w="399" w:type="dxa"/>
            <w:tcBorders>
              <w:top w:val="single" w:sz="2" w:space="0" w:color="F1EFE8"/>
              <w:start w:val="single" w:sz="2" w:space="0" w:color="F1EFE8"/>
              <w:bottom w:val="single" w:sz="2" w:space="0" w:color="F1EFE8"/>
              <w:end w:val="single" w:sz="2" w:space="0" w:color="F1EFE8"/>
            </w:tcBorders>
            <w:shd w:fill="F1EFE8" w:val="clear"/>
            <w:tcMar>
              <w:start w:w="80" w:type="dxa"/>
              <w:end w:w="80" w:type="dxa"/>
            </w:tcMar>
            <w:vAlign w:val="center"/>
          </w:tcPr>
          <w:p>
            <w:pPr>
              <w:pStyle w:val="Normal"/>
              <w:jc w:val="center"/>
              <w:rPr/>
            </w:pPr>
            <w:r>
              <w:rPr>
                <w:rFonts w:eastAsia="Arial" w:cs="Arial"/>
                <w:b/>
                <w:bCs/>
                <w:color w:val="5F5E5A"/>
                <w:sz w:val="20"/>
                <w:szCs w:val="20"/>
              </w:rPr>
              <w:t>22</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 xml:space="preserve">Multimedia channel — YouTube seminar archive + podcast </w:t>
            </w:r>
            <w:r>
              <w:rPr>
                <w:rFonts w:eastAsia="Arial" w:cs="Arial"/>
                <w:color w:val="1A1A1A"/>
                <w:sz w:val="19"/>
                <w:szCs w:val="19"/>
                <w:shd w:fill="FF4000" w:val="clear"/>
              </w:rPr>
              <w:t>RSS</w:t>
            </w:r>
            <w:r>
              <w:rPr>
                <w:rFonts w:eastAsia="Arial" w:cs="Arial"/>
                <w:color w:val="1A1A1A"/>
                <w:sz w:val="19"/>
                <w:szCs w:val="19"/>
              </w:rPr>
              <w:t xml:space="preserve"> on Spotify/Apple</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Communications + IT</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Ongoing</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First 3 seminars published; podcast on 2 platforms</w:t>
            </w:r>
          </w:p>
        </w:tc>
      </w:tr>
      <w:tr>
        <w:trPr/>
        <w:tc>
          <w:tcPr>
            <w:tcW w:w="399" w:type="dxa"/>
            <w:tcBorders>
              <w:top w:val="single" w:sz="2" w:space="0" w:color="F1EFE8"/>
              <w:start w:val="single" w:sz="2" w:space="0" w:color="F1EFE8"/>
              <w:bottom w:val="single" w:sz="2" w:space="0" w:color="F1EFE8"/>
              <w:end w:val="single" w:sz="2" w:space="0" w:color="F1EFE8"/>
            </w:tcBorders>
            <w:shd w:fill="F1EFE8" w:val="clear"/>
            <w:tcMar>
              <w:start w:w="80" w:type="dxa"/>
              <w:end w:w="80" w:type="dxa"/>
            </w:tcMar>
            <w:vAlign w:val="center"/>
          </w:tcPr>
          <w:p>
            <w:pPr>
              <w:pStyle w:val="Normal"/>
              <w:jc w:val="center"/>
              <w:rPr/>
            </w:pPr>
            <w:r>
              <w:rPr>
                <w:rFonts w:eastAsia="Arial" w:cs="Arial"/>
                <w:b/>
                <w:bCs/>
                <w:color w:val="5F5E5A"/>
                <w:sz w:val="20"/>
                <w:szCs w:val="20"/>
              </w:rPr>
              <w:t>23</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Plausible Analytics — monthly report to Director</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IT Unit</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1 week</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Monthly analytics report delivered</w:t>
            </w:r>
          </w:p>
        </w:tc>
      </w:tr>
      <w:tr>
        <w:trPr/>
        <w:tc>
          <w:tcPr>
            <w:tcW w:w="399" w:type="dxa"/>
            <w:tcBorders>
              <w:top w:val="single" w:sz="2" w:space="0" w:color="F1EFE8"/>
              <w:start w:val="single" w:sz="2" w:space="0" w:color="F1EFE8"/>
              <w:bottom w:val="single" w:sz="2" w:space="0" w:color="F1EFE8"/>
              <w:end w:val="single" w:sz="2" w:space="0" w:color="F1EFE8"/>
            </w:tcBorders>
            <w:shd w:fill="F1EFE8" w:val="clear"/>
            <w:tcMar>
              <w:start w:w="80" w:type="dxa"/>
              <w:end w:w="80" w:type="dxa"/>
            </w:tcMar>
            <w:vAlign w:val="center"/>
          </w:tcPr>
          <w:p>
            <w:pPr>
              <w:pStyle w:val="Normal"/>
              <w:jc w:val="center"/>
              <w:rPr/>
            </w:pPr>
            <w:r>
              <w:rPr>
                <w:rFonts w:eastAsia="Arial" w:cs="Arial"/>
                <w:b/>
                <w:bCs/>
                <w:color w:val="5F5E5A"/>
                <w:sz w:val="20"/>
                <w:szCs w:val="20"/>
              </w:rPr>
              <w:t>24</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 xml:space="preserve">Content governance policy — editorial owners, </w:t>
            </w:r>
            <w:r>
              <w:rPr>
                <w:rFonts w:eastAsia="Arial" w:cs="Arial"/>
                <w:color w:val="1A1A1A"/>
                <w:sz w:val="19"/>
                <w:szCs w:val="19"/>
                <w:shd w:fill="FF4000" w:val="clear"/>
              </w:rPr>
              <w:t>cadences</w:t>
            </w:r>
            <w:r>
              <w:rPr>
                <w:rFonts w:eastAsia="Arial" w:cs="Arial"/>
                <w:color w:val="1A1A1A"/>
                <w:sz w:val="19"/>
                <w:szCs w:val="19"/>
              </w:rPr>
              <w:t>, CMS roles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Director's office</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Policy approved; all section owners named</w:t>
            </w:r>
          </w:p>
        </w:tc>
      </w:tr>
      <w:tr>
        <w:trPr/>
        <w:tc>
          <w:tcPr>
            <w:tcW w:w="399" w:type="dxa"/>
            <w:tcBorders>
              <w:top w:val="single" w:sz="2" w:space="0" w:color="F1EFE8"/>
              <w:start w:val="single" w:sz="2" w:space="0" w:color="F1EFE8"/>
              <w:bottom w:val="single" w:sz="2" w:space="0" w:color="F1EFE8"/>
              <w:end w:val="single" w:sz="2" w:space="0" w:color="F1EFE8"/>
            </w:tcBorders>
            <w:shd w:fill="F1EFE8" w:val="clear"/>
            <w:tcMar>
              <w:start w:w="80" w:type="dxa"/>
              <w:end w:w="80" w:type="dxa"/>
            </w:tcMar>
            <w:vAlign w:val="center"/>
          </w:tcPr>
          <w:p>
            <w:pPr>
              <w:pStyle w:val="Normal"/>
              <w:jc w:val="center"/>
              <w:rPr/>
            </w:pPr>
            <w:r>
              <w:rPr>
                <w:rFonts w:eastAsia="Arial" w:cs="Arial"/>
                <w:b/>
                <w:bCs/>
                <w:color w:val="5F5E5A"/>
                <w:sz w:val="20"/>
                <w:szCs w:val="20"/>
              </w:rPr>
              <w:t>25</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Tender and procurement section — notices within 5 working days of issue</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Admin + IT</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 xml:space="preserve">All open tenders published within </w:t>
            </w:r>
            <w:r>
              <w:rPr>
                <w:rFonts w:eastAsia="Arial" w:cs="Arial"/>
                <w:color w:val="1A1A1A"/>
                <w:sz w:val="19"/>
                <w:szCs w:val="19"/>
                <w:shd w:fill="FF4000" w:val="clear"/>
              </w:rPr>
              <w:t>SLA</w:t>
            </w:r>
          </w:p>
        </w:tc>
      </w:tr>
      <w:tr>
        <w:trPr/>
        <w:tc>
          <w:tcPr>
            <w:tcW w:w="399" w:type="dxa"/>
            <w:tcBorders>
              <w:top w:val="single" w:sz="2" w:space="0" w:color="F1EFE8"/>
              <w:start w:val="single" w:sz="2" w:space="0" w:color="F1EFE8"/>
              <w:bottom w:val="single" w:sz="2" w:space="0" w:color="F1EFE8"/>
              <w:end w:val="single" w:sz="2" w:space="0" w:color="F1EFE8"/>
            </w:tcBorders>
            <w:shd w:fill="F1EFE8" w:val="clear"/>
            <w:tcMar>
              <w:start w:w="80" w:type="dxa"/>
              <w:end w:w="80" w:type="dxa"/>
            </w:tcMar>
            <w:vAlign w:val="center"/>
          </w:tcPr>
          <w:p>
            <w:pPr>
              <w:pStyle w:val="Normal"/>
              <w:jc w:val="center"/>
              <w:rPr/>
            </w:pPr>
            <w:r>
              <w:rPr>
                <w:rFonts w:eastAsia="Arial" w:cs="Arial"/>
                <w:b/>
                <w:bCs/>
                <w:color w:val="5F5E5A"/>
                <w:sz w:val="20"/>
                <w:szCs w:val="20"/>
              </w:rPr>
              <w:t>26</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Year-one quality audit — repeat 8-dimension benchmark</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IT + Communications</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1 week</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Target: 75/100 composite score achieved</w:t>
            </w:r>
          </w:p>
        </w:tc>
      </w:tr>
      <w:tr>
        <w:trPr/>
        <w:tc>
          <w:tcPr>
            <w:tcW w:w="399"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17"/>
                <w:szCs w:val="17"/>
              </w:rPr>
              <w:t>AI-6</w:t>
            </w:r>
          </w:p>
        </w:tc>
        <w:tc>
          <w:tcPr>
            <w:tcW w:w="3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Policy Monitor &amp; Alerts — daily RSS + LLM briefing pipeline for researchers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 + IT</w:t>
            </w:r>
          </w:p>
        </w:tc>
        <w:tc>
          <w:tcPr>
            <w:tcW w:w="140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Daily brief delivered by 07:00 WAT; ≥80% relevant items flagged correctly</w:t>
            </w:r>
          </w:p>
        </w:tc>
      </w:tr>
      <w:tr>
        <w:trPr/>
        <w:tc>
          <w:tcPr>
            <w:tcW w:w="399"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17"/>
                <w:szCs w:val="17"/>
              </w:rPr>
              <w:t>AI-7</w:t>
            </w:r>
          </w:p>
        </w:tc>
        <w:tc>
          <w:tcPr>
            <w:tcW w:w="3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AI Translation Layer — NLLB-200 for Yoruba, Hausa, Igbo</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Developer</w:t>
            </w:r>
          </w:p>
        </w:tc>
        <w:tc>
          <w:tcPr>
            <w:tcW w:w="140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2 weeks</w:t>
            </w:r>
          </w:p>
        </w:tc>
        <w:tc>
          <w:tcPr>
            <w:tcW w:w="18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5 Insights posts translated + reviewed per language at launch</w:t>
            </w:r>
          </w:p>
        </w:tc>
      </w:tr>
    </w:tbl>
    <w:p>
      <w:pPr>
        <w:pStyle w:val="Normal"/>
        <w:spacing w:before="0" w:after="160"/>
        <w:rPr/>
      </w:pPr>
      <w:r>
        <w:rPr/>
      </w:r>
    </w:p>
    <w:p>
      <w:pPr>
        <w:pStyle w:val="Normal"/>
        <w:rPr/>
      </w:pPr>
      <w:r>
        <w:rPr/>
      </w:r>
      <w:r>
        <w:br w:type="page"/>
      </w:r>
    </w:p>
    <w:p>
      <w:pPr>
        <w:pStyle w:val="Heading1"/>
        <w:spacing w:before="0" w:after="80"/>
        <w:rPr/>
      </w:pPr>
      <w:r>
        <w:rPr>
          <w:rFonts w:eastAsia="Arial" w:cs="Arial" w:ascii="Arial" w:hAnsi="Arial"/>
          <w:b/>
          <w:bCs/>
          <w:color w:val="854F0B"/>
          <w:sz w:val="22"/>
          <w:szCs w:val="22"/>
        </w:rPr>
        <w:t>5. Technical Deliverables</w:t>
      </w:r>
    </w:p>
    <w:p>
      <w:pPr>
        <w:pStyle w:val="Heading2"/>
        <w:spacing w:before="140" w:after="80"/>
        <w:rPr/>
      </w:pPr>
      <w:r>
        <w:rPr>
          <w:rFonts w:eastAsia="Arial" w:cs="Arial" w:ascii="Arial" w:hAnsi="Arial"/>
          <w:b/>
          <w:bCs/>
          <w:color w:val="854F0B"/>
          <w:sz w:val="22"/>
          <w:szCs w:val="22"/>
        </w:rPr>
        <w:t>5.1 Next.js Project Structure (updated for AI)</w:t>
      </w:r>
    </w:p>
    <w:p>
      <w:pPr>
        <w:pStyle w:val="Normal"/>
        <w:spacing w:before="0" w:after="80"/>
        <w:rPr/>
      </w:pPr>
      <w:r>
        <w:rPr>
          <w:rFonts w:eastAsia="Arial" w:cs="Arial"/>
          <w:color w:val="1A1A1A"/>
          <w:sz w:val="22"/>
          <w:szCs w:val="22"/>
        </w:rPr>
        <w:t>The project structure from v1.0 is extended with the following AI-specific directories and files:</w:t>
      </w:r>
    </w:p>
    <w:tbl>
      <w:tblPr>
        <w:tblW w:w="9360" w:type="dxa"/>
        <w:jc w:val="start"/>
        <w:tblInd w:w="0" w:type="dxa"/>
        <w:tblLayout w:type="fixed"/>
        <w:tblCellMar>
          <w:top w:w="80" w:type="dxa"/>
          <w:start w:w="120" w:type="dxa"/>
          <w:bottom w:w="80" w:type="dxa"/>
          <w:end w:w="120" w:type="dxa"/>
        </w:tblCellMar>
      </w:tblPr>
      <w:tblGrid>
        <w:gridCol w:w="3599"/>
        <w:gridCol w:w="5761"/>
      </w:tblGrid>
      <w:tr>
        <w:trPr/>
        <w:tc>
          <w:tcPr>
            <w:tcW w:w="35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Path</w:t>
            </w:r>
          </w:p>
        </w:tc>
        <w:tc>
          <w:tcPr>
            <w:tcW w:w="57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Contents</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Courier New" w:cs="Courier New" w:ascii="Courier New" w:hAnsi="Courier New"/>
                <w:color w:val="3C3489"/>
                <w:sz w:val="19"/>
                <w:szCs w:val="19"/>
              </w:rPr>
              <w:t>app/api/chatbot/route.ts</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Streaming serverless endpoint: receives user message → Qdrant retrieval → LLM generation → SSE stream response</w:t>
            </w:r>
          </w:p>
        </w:tc>
      </w:tr>
      <w:tr>
        <w:trPr/>
        <w:tc>
          <w:tcPr>
            <w:tcW w:w="35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Courier New" w:cs="Courier New" w:ascii="Courier New" w:hAnsi="Courier New"/>
                <w:color w:val="3C3489"/>
                <w:sz w:val="19"/>
                <w:szCs w:val="19"/>
              </w:rPr>
              <w:t>app/api/embed/route.ts</w:t>
            </w:r>
          </w:p>
        </w:tc>
        <w:tc>
          <w:tcPr>
            <w:tcW w:w="57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Webhook endpoint called by CMS on content publish — generates embeddings and upserts to Qdrant</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Courier New" w:cs="Courier New" w:ascii="Courier New" w:hAnsi="Courier New"/>
                <w:color w:val="3C3489"/>
                <w:sz w:val="19"/>
                <w:szCs w:val="19"/>
              </w:rPr>
              <w:t>app/api/policy-brief/route.ts</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Internal endpoint (auth-gated) — accepts publication IDs + audience → returns AI-drafted brief</w:t>
            </w:r>
          </w:p>
        </w:tc>
      </w:tr>
      <w:tr>
        <w:trPr/>
        <w:tc>
          <w:tcPr>
            <w:tcW w:w="35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Courier New" w:cs="Courier New" w:ascii="Courier New" w:hAnsi="Courier New"/>
                <w:color w:val="3C3489"/>
                <w:sz w:val="19"/>
                <w:szCs w:val="19"/>
              </w:rPr>
              <w:t>app/api/translate/route.ts</w:t>
            </w:r>
          </w:p>
        </w:tc>
        <w:tc>
          <w:tcPr>
            <w:tcW w:w="57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Internal endpoint — accepts content + target language → returns NLLB translation</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Courier New" w:cs="Courier New" w:ascii="Courier New" w:hAnsi="Courier New"/>
                <w:color w:val="3C3489"/>
                <w:sz w:val="19"/>
                <w:szCs w:val="19"/>
              </w:rPr>
              <w:t>components/chatbot/ChatWidget.tsx</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Floating chat widget with streaming token display, source citations, and privacy notice</w:t>
            </w:r>
          </w:p>
        </w:tc>
      </w:tr>
      <w:tr>
        <w:trPr/>
        <w:tc>
          <w:tcPr>
            <w:tcW w:w="35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Courier New" w:cs="Courier New" w:ascii="Courier New" w:hAnsi="Courier New"/>
                <w:color w:val="3C3489"/>
                <w:sz w:val="19"/>
                <w:szCs w:val="19"/>
              </w:rPr>
              <w:t>components/chatbot/ChatMessage.tsx</w:t>
            </w:r>
          </w:p>
        </w:tc>
        <w:tc>
          <w:tcPr>
            <w:tcW w:w="57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Individual message bubble with Markdown rendering and citation link list</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Courier New" w:cs="Courier New" w:ascii="Courier New" w:hAnsi="Courier New"/>
                <w:color w:val="3C3489"/>
                <w:sz w:val="19"/>
                <w:szCs w:val="19"/>
              </w:rPr>
              <w:t>components/search/SemanticBadge.tsx</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Badge indicating AI-enhanced search results; toggle between keyword and semantic mode</w:t>
            </w:r>
          </w:p>
        </w:tc>
      </w:tr>
      <w:tr>
        <w:trPr/>
        <w:tc>
          <w:tcPr>
            <w:tcW w:w="35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Courier New" w:cs="Courier New" w:ascii="Courier New" w:hAnsi="Courier New"/>
                <w:color w:val="3C3489"/>
                <w:sz w:val="19"/>
                <w:szCs w:val="19"/>
              </w:rPr>
              <w:t>components/recommendations/RelatedContent.tsx</w:t>
            </w:r>
          </w:p>
        </w:tc>
        <w:tc>
          <w:tcPr>
            <w:tcW w:w="57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Pre-computed recommendation carousel — fetches from CMS related_content field</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Courier New" w:cs="Courier New" w:ascii="Courier New" w:hAnsi="Courier New"/>
                <w:color w:val="3C3489"/>
                <w:sz w:val="19"/>
                <w:szCs w:val="19"/>
              </w:rPr>
              <w:t>lib/ai/qdrant.ts</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Qdrant client — upsert, query, and delete vector operations</w:t>
            </w:r>
          </w:p>
        </w:tc>
      </w:tr>
      <w:tr>
        <w:trPr/>
        <w:tc>
          <w:tcPr>
            <w:tcW w:w="35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Courier New" w:cs="Courier New" w:ascii="Courier New" w:hAnsi="Courier New"/>
                <w:color w:val="3C3489"/>
                <w:sz w:val="19"/>
                <w:szCs w:val="19"/>
              </w:rPr>
              <w:t>lib/ai/embeddings.ts</w:t>
            </w:r>
          </w:p>
        </w:tc>
        <w:tc>
          <w:tcPr>
            <w:tcW w:w="57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sentence-transformers API client — generates embeddings for documents and queries</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Courier New" w:cs="Courier New" w:ascii="Courier New" w:hAnsi="Courier New"/>
                <w:color w:val="3C3489"/>
                <w:sz w:val="19"/>
                <w:szCs w:val="19"/>
              </w:rPr>
              <w:t>lib/ai/llm.ts</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LLM provider adapter — swappable between Claude API, GPT-4o, and local Llama 3 endpoint</w:t>
            </w:r>
          </w:p>
        </w:tc>
      </w:tr>
      <w:tr>
        <w:trPr/>
        <w:tc>
          <w:tcPr>
            <w:tcW w:w="35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Courier New" w:cs="Courier New" w:ascii="Courier New" w:hAnsi="Courier New"/>
                <w:color w:val="3C3489"/>
                <w:sz w:val="19"/>
                <w:szCs w:val="19"/>
              </w:rPr>
              <w:t>lib/ai/rag.ts</w:t>
            </w:r>
          </w:p>
        </w:tc>
        <w:tc>
          <w:tcPr>
            <w:tcW w:w="57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RAG pipeline — query embedding → Qdrant retrieval → context assembly → LLM prompt construction</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Courier New" w:cs="Courier New" w:ascii="Courier New" w:hAnsi="Courier New"/>
                <w:color w:val="3C3489"/>
                <w:sz w:val="19"/>
                <w:szCs w:val="19"/>
              </w:rPr>
              <w:t>lib/ai/policy-monitor.ts</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RSS feed fetcher, relevance classifier, and daily brief formatter</w:t>
            </w:r>
          </w:p>
        </w:tc>
      </w:tr>
      <w:tr>
        <w:trPr/>
        <w:tc>
          <w:tcPr>
            <w:tcW w:w="35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Courier New" w:cs="Courier New" w:ascii="Courier New" w:hAnsi="Courier New"/>
                <w:color w:val="3C3489"/>
                <w:sz w:val="19"/>
                <w:szCs w:val="19"/>
              </w:rPr>
              <w:t>lib/ai/translate.ts</w:t>
            </w:r>
          </w:p>
        </w:tc>
        <w:tc>
          <w:tcPr>
            <w:tcW w:w="57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19"/>
                <w:szCs w:val="19"/>
              </w:rPr>
              <w:t>NLLB API client for Yoruba, Hausa, Igbo translation</w:t>
            </w:r>
          </w:p>
        </w:tc>
      </w:tr>
      <w:tr>
        <w:trPr/>
        <w:tc>
          <w:tcPr>
            <w:tcW w:w="35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Courier New" w:cs="Courier New" w:ascii="Courier New" w:hAnsi="Courier New"/>
                <w:color w:val="3C3489"/>
                <w:sz w:val="19"/>
                <w:szCs w:val="19"/>
              </w:rPr>
              <w:t>scripts/ingest-documents.ts</w:t>
            </w:r>
          </w:p>
        </w:tc>
        <w:tc>
          <w:tcPr>
            <w:tcW w:w="57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19"/>
                <w:szCs w:val="19"/>
              </w:rPr>
              <w:t>One-time bulk ingestion script — processes all existing CMS content into Qdrant</w:t>
            </w:r>
          </w:p>
        </w:tc>
      </w:tr>
    </w:tbl>
    <w:p>
      <w:pPr>
        <w:pStyle w:val="Normal"/>
        <w:spacing w:before="0" w:after="200"/>
        <w:rPr/>
      </w:pPr>
      <w:r>
        <w:rPr/>
      </w:r>
    </w:p>
    <w:p>
      <w:pPr>
        <w:pStyle w:val="Heading1"/>
        <w:spacing w:before="140" w:after="80"/>
        <w:rPr/>
      </w:pPr>
      <w:r>
        <w:rPr>
          <w:rFonts w:eastAsia="Arial" w:cs="Arial" w:ascii="Arial" w:hAnsi="Arial"/>
          <w:b/>
          <w:bCs/>
          <w:color w:val="854F0B"/>
          <w:sz w:val="22"/>
          <w:szCs w:val="22"/>
        </w:rPr>
        <w:t>6. Content Governance Policy</w:t>
      </w:r>
    </w:p>
    <w:p>
      <w:pPr>
        <w:pStyle w:val="Normal"/>
        <w:spacing w:before="0" w:after="120"/>
        <w:rPr/>
      </w:pPr>
      <w:r>
        <w:rPr>
          <w:rFonts w:eastAsia="Arial" w:cs="Arial"/>
          <w:color w:val="1A1A1A"/>
          <w:sz w:val="22"/>
          <w:szCs w:val="22"/>
        </w:rPr>
        <w:t>See companion document: NISER Website Gap Analysis &amp; Improvement Proposals — Section 10 (Content Governance Policy). The governance policy is updated in v1.1 to include the AI Governance section (Section 9 of this document): human-in-the-loop requirement, AI disclosure standard, NDPR AI compliance review, model audit logging, hallucination monitoring, and annual AI ethics review.</w:t>
      </w:r>
    </w:p>
    <w:p>
      <w:pPr>
        <w:pStyle w:val="Heading1"/>
        <w:spacing w:before="140" w:after="80"/>
        <w:rPr/>
      </w:pPr>
      <w:r>
        <w:rPr>
          <w:rFonts w:eastAsia="Arial" w:cs="Arial" w:ascii="Arial" w:hAnsi="Arial"/>
          <w:b/>
          <w:bCs/>
          <w:color w:val="854F0B"/>
          <w:sz w:val="22"/>
          <w:szCs w:val="22"/>
        </w:rPr>
        <w:t>7. Budget (updated for v1.1 — AI included)</w:t>
      </w:r>
    </w:p>
    <w:tbl>
      <w:tblPr>
        <w:tblW w:w="9360" w:type="dxa"/>
        <w:jc w:val="start"/>
        <w:tblInd w:w="0" w:type="dxa"/>
        <w:tblLayout w:type="fixed"/>
        <w:tblCellMar>
          <w:top w:w="80" w:type="dxa"/>
          <w:start w:w="120" w:type="dxa"/>
          <w:bottom w:w="80" w:type="dxa"/>
          <w:end w:w="120" w:type="dxa"/>
        </w:tblCellMar>
      </w:tblPr>
      <w:tblGrid>
        <w:gridCol w:w="4000"/>
        <w:gridCol w:w="1839"/>
        <w:gridCol w:w="1840"/>
        <w:gridCol w:w="1681"/>
      </w:tblGrid>
      <w:tr>
        <w:trPr/>
        <w:tc>
          <w:tcPr>
            <w:tcW w:w="40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Item</w:t>
            </w:r>
          </w:p>
        </w:tc>
        <w:tc>
          <w:tcPr>
            <w:tcW w:w="183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Low (USD)</w:t>
            </w:r>
          </w:p>
        </w:tc>
        <w:tc>
          <w:tcPr>
            <w:tcW w:w="184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High (USD)</w:t>
            </w:r>
          </w:p>
        </w:tc>
        <w:tc>
          <w:tcPr>
            <w:tcW w:w="168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Notes</w:t>
            </w:r>
          </w:p>
        </w:tc>
      </w:tr>
      <w:tr>
        <w:trPr/>
        <w:tc>
          <w:tcPr>
            <w:tcW w:w="4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Phase 1 — Emergency triage</w:t>
            </w:r>
          </w:p>
        </w:tc>
        <w:tc>
          <w:tcPr>
            <w:tcW w:w="1839"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color w:val="0F6E56"/>
                <w:sz w:val="20"/>
                <w:szCs w:val="20"/>
              </w:rPr>
              <w:t>$0</w:t>
            </w:r>
          </w:p>
        </w:tc>
        <w:tc>
          <w:tcPr>
            <w:tcW w:w="1840"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b/>
                <w:bCs/>
                <w:color w:val="0F6E56"/>
                <w:sz w:val="20"/>
                <w:szCs w:val="20"/>
              </w:rPr>
              <w:t>$0</w:t>
            </w:r>
          </w:p>
        </w:tc>
        <w:tc>
          <w:tcPr>
            <w:tcW w:w="168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Free tools; staff time only</w:t>
            </w:r>
          </w:p>
        </w:tc>
      </w:tr>
      <w:tr>
        <w:trPr/>
        <w:tc>
          <w:tcPr>
            <w:tcW w:w="4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Phase 2 — Frontend development</w:t>
            </w:r>
          </w:p>
        </w:tc>
        <w:tc>
          <w:tcPr>
            <w:tcW w:w="1839"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color w:val="0F6E56"/>
                <w:sz w:val="20"/>
                <w:szCs w:val="20"/>
              </w:rPr>
              <w:t>$0</w:t>
            </w:r>
          </w:p>
        </w:tc>
        <w:tc>
          <w:tcPr>
            <w:tcW w:w="1840"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b/>
                <w:bCs/>
                <w:color w:val="0F6E56"/>
                <w:sz w:val="20"/>
                <w:szCs w:val="20"/>
              </w:rPr>
              <w:t>$0</w:t>
            </w:r>
          </w:p>
        </w:tc>
        <w:tc>
          <w:tcPr>
            <w:tcW w:w="168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 / small agency</w:t>
            </w:r>
          </w:p>
        </w:tc>
      </w:tr>
      <w:tr>
        <w:trPr/>
        <w:tc>
          <w:tcPr>
            <w:tcW w:w="4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Phase 2 — CMS setup and migration</w:t>
            </w:r>
          </w:p>
        </w:tc>
        <w:tc>
          <w:tcPr>
            <w:tcW w:w="1839"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color w:val="0F6E56"/>
                <w:sz w:val="20"/>
                <w:szCs w:val="20"/>
              </w:rPr>
              <w:t>$0</w:t>
            </w:r>
          </w:p>
        </w:tc>
        <w:tc>
          <w:tcPr>
            <w:tcW w:w="1840"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b/>
                <w:bCs/>
                <w:color w:val="0F6E56"/>
                <w:sz w:val="20"/>
                <w:szCs w:val="20"/>
              </w:rPr>
              <w:t>$0</w:t>
            </w:r>
          </w:p>
        </w:tc>
        <w:tc>
          <w:tcPr>
            <w:tcW w:w="168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Bundled with development</w:t>
            </w:r>
          </w:p>
        </w:tc>
      </w:tr>
      <w:tr>
        <w:trPr/>
        <w:tc>
          <w:tcPr>
            <w:tcW w:w="4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Phase 2–4 — AI integration (all 7 capabilities)</w:t>
            </w:r>
          </w:p>
        </w:tc>
        <w:tc>
          <w:tcPr>
            <w:tcW w:w="1839"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highlight w:val="none"/>
                <w:shd w:fill="FF4000" w:val="clear"/>
              </w:rPr>
            </w:pPr>
            <w:r>
              <w:rPr>
                <w:rFonts w:eastAsia="Arial" w:cs="Arial"/>
                <w:color w:val="1A1A1A"/>
                <w:sz w:val="20"/>
                <w:szCs w:val="20"/>
                <w:shd w:fill="FF4000" w:val="clear"/>
              </w:rPr>
              <w:t>$1,600</w:t>
            </w:r>
          </w:p>
        </w:tc>
        <w:tc>
          <w:tcPr>
            <w:tcW w:w="1840"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highlight w:val="none"/>
                <w:shd w:fill="FF4000" w:val="clear"/>
              </w:rPr>
            </w:pPr>
            <w:r>
              <w:rPr>
                <w:rFonts w:eastAsia="Arial" w:cs="Arial"/>
                <w:b/>
                <w:bCs/>
                <w:color w:val="1A1A1A"/>
                <w:sz w:val="20"/>
                <w:szCs w:val="20"/>
                <w:shd w:fill="FF4000" w:val="clear"/>
              </w:rPr>
              <w:t>$3,000</w:t>
            </w:r>
          </w:p>
        </w:tc>
        <w:tc>
          <w:tcPr>
            <w:tcW w:w="168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Setup + first-year model costs</w:t>
            </w:r>
          </w:p>
        </w:tc>
      </w:tr>
      <w:tr>
        <w:trPr/>
        <w:tc>
          <w:tcPr>
            <w:tcW w:w="4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UI/UX design</w:t>
            </w:r>
          </w:p>
        </w:tc>
        <w:tc>
          <w:tcPr>
            <w:tcW w:w="1839"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color w:val="0F6E56"/>
                <w:sz w:val="20"/>
                <w:szCs w:val="20"/>
              </w:rPr>
              <w:t>$0</w:t>
            </w:r>
          </w:p>
        </w:tc>
        <w:tc>
          <w:tcPr>
            <w:tcW w:w="1840"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b/>
                <w:bCs/>
                <w:color w:val="0F6E56"/>
                <w:sz w:val="20"/>
                <w:szCs w:val="20"/>
              </w:rPr>
              <w:t>$0</w:t>
            </w:r>
          </w:p>
        </w:tc>
        <w:tc>
          <w:tcPr>
            <w:tcW w:w="168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Figma; community templates</w:t>
            </w:r>
          </w:p>
        </w:tc>
      </w:tr>
      <w:tr>
        <w:trPr/>
        <w:tc>
          <w:tcPr>
            <w:tcW w:w="4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Phase 3 — CKAN setup</w:t>
            </w:r>
          </w:p>
        </w:tc>
        <w:tc>
          <w:tcPr>
            <w:tcW w:w="1839"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color w:val="0F6E56"/>
                <w:sz w:val="20"/>
                <w:szCs w:val="20"/>
              </w:rPr>
              <w:t>$0</w:t>
            </w:r>
          </w:p>
        </w:tc>
        <w:tc>
          <w:tcPr>
            <w:tcW w:w="1840"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b/>
                <w:bCs/>
                <w:color w:val="0F6E56"/>
                <w:sz w:val="20"/>
                <w:szCs w:val="20"/>
              </w:rPr>
              <w:t>$0</w:t>
            </w:r>
          </w:p>
        </w:tc>
        <w:tc>
          <w:tcPr>
            <w:tcW w:w="168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Developer + research staff</w:t>
            </w:r>
          </w:p>
        </w:tc>
      </w:tr>
      <w:tr>
        <w:trPr/>
        <w:tc>
          <w:tcPr>
            <w:tcW w:w="4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Phase 3 — WCAG audit</w:t>
            </w:r>
          </w:p>
        </w:tc>
        <w:tc>
          <w:tcPr>
            <w:tcW w:w="1839"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color w:val="1A1A1A"/>
                <w:sz w:val="20"/>
                <w:szCs w:val="20"/>
              </w:rPr>
              <w:t>$400</w:t>
            </w:r>
          </w:p>
        </w:tc>
        <w:tc>
          <w:tcPr>
            <w:tcW w:w="1840"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b/>
                <w:bCs/>
                <w:color w:val="1A1A1A"/>
                <w:sz w:val="20"/>
                <w:szCs w:val="20"/>
              </w:rPr>
              <w:t>$900</w:t>
            </w:r>
          </w:p>
        </w:tc>
        <w:tc>
          <w:tcPr>
            <w:tcW w:w="168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Third-party consultant</w:t>
            </w:r>
          </w:p>
        </w:tc>
      </w:tr>
      <w:tr>
        <w:trPr/>
        <w:tc>
          <w:tcPr>
            <w:tcW w:w="4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Phase 4 — Analytics, governance, multimedia</w:t>
            </w:r>
          </w:p>
        </w:tc>
        <w:tc>
          <w:tcPr>
            <w:tcW w:w="1839"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color w:val="0F6E56"/>
                <w:sz w:val="20"/>
                <w:szCs w:val="20"/>
              </w:rPr>
              <w:t>$0</w:t>
            </w:r>
          </w:p>
        </w:tc>
        <w:tc>
          <w:tcPr>
            <w:tcW w:w="1840"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b/>
                <w:bCs/>
                <w:color w:val="0F6E56"/>
                <w:sz w:val="20"/>
                <w:szCs w:val="20"/>
              </w:rPr>
              <w:t>$0</w:t>
            </w:r>
          </w:p>
        </w:tc>
        <w:tc>
          <w:tcPr>
            <w:tcW w:w="168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Mostly internal effort</w:t>
            </w:r>
          </w:p>
        </w:tc>
      </w:tr>
      <w:tr>
        <w:trPr/>
        <w:tc>
          <w:tcPr>
            <w:tcW w:w="4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Vercel Pro (12 months)</w:t>
            </w:r>
          </w:p>
        </w:tc>
        <w:tc>
          <w:tcPr>
            <w:tcW w:w="1839"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color w:val="0F6E56"/>
                <w:sz w:val="20"/>
                <w:szCs w:val="20"/>
              </w:rPr>
              <w:t>$0</w:t>
            </w:r>
          </w:p>
        </w:tc>
        <w:tc>
          <w:tcPr>
            <w:tcW w:w="1840"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b/>
                <w:bCs/>
                <w:color w:val="1A1A1A"/>
                <w:sz w:val="20"/>
                <w:szCs w:val="20"/>
              </w:rPr>
              <w:t>$240</w:t>
            </w:r>
          </w:p>
        </w:tc>
        <w:tc>
          <w:tcPr>
            <w:tcW w:w="168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$20/month</w:t>
            </w:r>
          </w:p>
        </w:tc>
      </w:tr>
      <w:tr>
        <w:trPr/>
        <w:tc>
          <w:tcPr>
            <w:tcW w:w="4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Brevo newsletter (optional paid)</w:t>
            </w:r>
          </w:p>
        </w:tc>
        <w:tc>
          <w:tcPr>
            <w:tcW w:w="1839"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color w:val="0F6E56"/>
                <w:sz w:val="20"/>
                <w:szCs w:val="20"/>
              </w:rPr>
              <w:t>$0</w:t>
            </w:r>
          </w:p>
        </w:tc>
        <w:tc>
          <w:tcPr>
            <w:tcW w:w="1840"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b/>
                <w:bCs/>
                <w:color w:val="1A1A1A"/>
                <w:sz w:val="20"/>
                <w:szCs w:val="20"/>
              </w:rPr>
              <w:t>$108</w:t>
            </w:r>
          </w:p>
        </w:tc>
        <w:tc>
          <w:tcPr>
            <w:tcW w:w="168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Free up to 9,000/month</w:t>
            </w:r>
          </w:p>
        </w:tc>
      </w:tr>
      <w:tr>
        <w:trPr/>
        <w:tc>
          <w:tcPr>
            <w:tcW w:w="4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AI ongoing costs (12 months)</w:t>
            </w:r>
          </w:p>
        </w:tc>
        <w:tc>
          <w:tcPr>
            <w:tcW w:w="1839"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highlight w:val="none"/>
                <w:shd w:fill="FF4000" w:val="clear"/>
              </w:rPr>
            </w:pPr>
            <w:r>
              <w:rPr>
                <w:rFonts w:eastAsia="Arial" w:cs="Arial"/>
                <w:color w:val="1A1A1A"/>
                <w:sz w:val="20"/>
                <w:szCs w:val="20"/>
                <w:shd w:fill="FF4000" w:val="clear"/>
              </w:rPr>
              <w:t>$204</w:t>
            </w:r>
          </w:p>
        </w:tc>
        <w:tc>
          <w:tcPr>
            <w:tcW w:w="1840"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highlight w:val="none"/>
                <w:shd w:fill="FF4000" w:val="clear"/>
              </w:rPr>
            </w:pPr>
            <w:r>
              <w:rPr>
                <w:rFonts w:eastAsia="Arial" w:cs="Arial"/>
                <w:b/>
                <w:bCs/>
                <w:color w:val="1A1A1A"/>
                <w:sz w:val="20"/>
                <w:szCs w:val="20"/>
                <w:shd w:fill="FF4000" w:val="clear"/>
              </w:rPr>
              <w:t>$1,740</w:t>
            </w:r>
          </w:p>
        </w:tc>
        <w:tc>
          <w:tcPr>
            <w:tcW w:w="168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$17–145/month average ~$70/month</w:t>
            </w:r>
          </w:p>
        </w:tc>
      </w:tr>
      <w:tr>
        <w:trPr/>
        <w:tc>
          <w:tcPr>
            <w:tcW w:w="4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Contingency (10%)</w:t>
            </w:r>
          </w:p>
        </w:tc>
        <w:tc>
          <w:tcPr>
            <w:tcW w:w="1839"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highlight w:val="none"/>
                <w:shd w:fill="FF4000" w:val="clear"/>
              </w:rPr>
            </w:pPr>
            <w:r>
              <w:rPr>
                <w:rFonts w:eastAsia="Arial" w:cs="Arial"/>
                <w:color w:val="1A1A1A"/>
                <w:sz w:val="20"/>
                <w:szCs w:val="20"/>
                <w:shd w:fill="FF4000" w:val="clear"/>
              </w:rPr>
              <w:t>$704</w:t>
            </w:r>
          </w:p>
        </w:tc>
        <w:tc>
          <w:tcPr>
            <w:tcW w:w="1840"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highlight w:val="none"/>
                <w:shd w:fill="FF4000" w:val="clear"/>
              </w:rPr>
            </w:pPr>
            <w:r>
              <w:rPr>
                <w:rFonts w:eastAsia="Arial" w:cs="Arial"/>
                <w:b/>
                <w:bCs/>
                <w:color w:val="1A1A1A"/>
                <w:sz w:val="20"/>
                <w:szCs w:val="20"/>
                <w:shd w:fill="FF4000" w:val="clear"/>
              </w:rPr>
              <w:t>$1,535</w:t>
            </w:r>
          </w:p>
        </w:tc>
        <w:tc>
          <w:tcPr>
            <w:tcW w:w="168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Buffer for scope changes</w:t>
            </w:r>
          </w:p>
        </w:tc>
      </w:tr>
      <w:tr>
        <w:trPr/>
        <w:tc>
          <w:tcPr>
            <w:tcW w:w="4000" w:type="dxa"/>
            <w:tcBorders>
              <w:top w:val="single" w:sz="2" w:space="0" w:color="D3D1C7"/>
              <w:start w:val="single" w:sz="2" w:space="0" w:color="D3D1C7"/>
              <w:bottom w:val="single" w:sz="2" w:space="0" w:color="D3D1C7"/>
              <w:end w:val="single" w:sz="2" w:space="0" w:color="D3D1C7"/>
            </w:tcBorders>
            <w:shd w:fill="D6E8F7" w:val="clear"/>
          </w:tcPr>
          <w:p>
            <w:pPr>
              <w:pStyle w:val="Normal"/>
              <w:rPr/>
            </w:pPr>
            <w:r>
              <w:rPr>
                <w:rFonts w:eastAsia="Arial" w:cs="Arial"/>
                <w:b/>
                <w:bCs/>
                <w:color w:val="0D2E5A"/>
                <w:sz w:val="22"/>
                <w:szCs w:val="22"/>
              </w:rPr>
              <w:t>TOTAL v1.1</w:t>
            </w:r>
          </w:p>
        </w:tc>
        <w:tc>
          <w:tcPr>
            <w:tcW w:w="1839"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highlight w:val="none"/>
                <w:shd w:fill="FF4000" w:val="clear"/>
              </w:rPr>
            </w:pPr>
            <w:r>
              <w:rPr>
                <w:rFonts w:eastAsia="Arial" w:cs="Arial"/>
                <w:color w:val="1A1A1A"/>
                <w:sz w:val="20"/>
                <w:szCs w:val="20"/>
                <w:shd w:fill="FF4000" w:val="clear"/>
              </w:rPr>
              <w:t>$8,748</w:t>
            </w:r>
          </w:p>
        </w:tc>
        <w:tc>
          <w:tcPr>
            <w:tcW w:w="1840" w:type="dxa"/>
            <w:tcBorders>
              <w:top w:val="single" w:sz="2" w:space="0" w:color="D3D1C7"/>
              <w:start w:val="single" w:sz="2" w:space="0" w:color="D3D1C7"/>
              <w:bottom w:val="single" w:sz="2" w:space="0" w:color="D3D1C7"/>
              <w:end w:val="single" w:sz="2" w:space="0" w:color="D3D1C7"/>
            </w:tcBorders>
            <w:shd w:fill="EAF3DE" w:val="clear"/>
          </w:tcPr>
          <w:p>
            <w:pPr>
              <w:pStyle w:val="Normal"/>
              <w:jc w:val="center"/>
              <w:rPr>
                <w:highlight w:val="none"/>
                <w:shd w:fill="FF4000" w:val="clear"/>
              </w:rPr>
            </w:pPr>
            <w:r>
              <w:rPr>
                <w:rFonts w:eastAsia="Arial" w:cs="Arial"/>
                <w:b/>
                <w:bCs/>
                <w:color w:val="1A1A1A"/>
                <w:sz w:val="20"/>
                <w:szCs w:val="20"/>
                <w:shd w:fill="FF4000" w:val="clear"/>
              </w:rPr>
              <w:t>$17,823</w:t>
            </w:r>
          </w:p>
        </w:tc>
        <w:tc>
          <w:tcPr>
            <w:tcW w:w="1681" w:type="dxa"/>
            <w:tcBorders>
              <w:top w:val="single" w:sz="2" w:space="0" w:color="D3D1C7"/>
              <w:start w:val="single" w:sz="2" w:space="0" w:color="D3D1C7"/>
              <w:bottom w:val="single" w:sz="2" w:space="0" w:color="D3D1C7"/>
              <w:end w:val="single" w:sz="2" w:space="0" w:color="D3D1C7"/>
            </w:tcBorders>
            <w:shd w:fill="D6E8F7" w:val="clear"/>
          </w:tcPr>
          <w:p>
            <w:pPr>
              <w:pStyle w:val="Normal"/>
              <w:rPr/>
            </w:pPr>
            <w:r>
              <w:rPr>
                <w:rFonts w:eastAsia="Arial" w:cs="Arial"/>
                <w:color w:val="5F5E5A"/>
                <w:sz w:val="20"/>
                <w:szCs w:val="20"/>
              </w:rPr>
              <w:t>Including all AI integration</w:t>
            </w:r>
          </w:p>
        </w:tc>
      </w:tr>
    </w:tbl>
    <w:p>
      <w:pPr>
        <w:pStyle w:val="Normal"/>
        <w:spacing w:before="0" w:after="200"/>
        <w:rPr/>
      </w:pPr>
      <w:r>
        <w:rPr/>
      </w:r>
    </w:p>
    <w:p>
      <w:pPr>
        <w:pStyle w:val="Heading1"/>
        <w:spacing w:before="140" w:after="80"/>
        <w:rPr/>
      </w:pPr>
      <w:r>
        <w:rPr>
          <w:rFonts w:eastAsia="Arial" w:cs="Arial" w:ascii="Arial" w:hAnsi="Arial"/>
          <w:b/>
          <w:bCs/>
          <w:color w:val="854F0B"/>
          <w:sz w:val="22"/>
          <w:szCs w:val="22"/>
        </w:rPr>
        <w:t>8. Success Metrics and KPIs (updated for v1.1)</w:t>
      </w:r>
    </w:p>
    <w:tbl>
      <w:tblPr>
        <w:tblW w:w="9360" w:type="dxa"/>
        <w:jc w:val="start"/>
        <w:tblInd w:w="0" w:type="dxa"/>
        <w:tblLayout w:type="fixed"/>
        <w:tblCellMar>
          <w:top w:w="80" w:type="dxa"/>
          <w:start w:w="120" w:type="dxa"/>
          <w:bottom w:w="80" w:type="dxa"/>
          <w:end w:w="120" w:type="dxa"/>
        </w:tblCellMar>
      </w:tblPr>
      <w:tblGrid>
        <w:gridCol w:w="3399"/>
        <w:gridCol w:w="2000"/>
        <w:gridCol w:w="2201"/>
        <w:gridCol w:w="1760"/>
      </w:tblGrid>
      <w:tr>
        <w:trPr/>
        <w:tc>
          <w:tcPr>
            <w:tcW w:w="33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KPI</w:t>
            </w:r>
          </w:p>
        </w:tc>
        <w:tc>
          <w:tcPr>
            <w:tcW w:w="20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Baseline</w:t>
            </w:r>
          </w:p>
        </w:tc>
        <w:tc>
          <w:tcPr>
            <w:tcW w:w="220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Year-1 target</w:t>
            </w:r>
          </w:p>
        </w:tc>
        <w:tc>
          <w:tcPr>
            <w:tcW w:w="176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Tool</w:t>
            </w:r>
          </w:p>
        </w:tc>
      </w:tr>
      <w:tr>
        <w:trPr/>
        <w:tc>
          <w:tcPr>
            <w:tcW w:w="3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Website quality score</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41/100</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75/100</w:t>
            </w:r>
          </w:p>
        </w:tc>
        <w:tc>
          <w:tcPr>
            <w:tcW w:w="17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Annual audit</w:t>
            </w:r>
          </w:p>
        </w:tc>
      </w:tr>
      <w:tr>
        <w:trPr/>
        <w:tc>
          <w:tcPr>
            <w:tcW w:w="3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Mobile Lighthouse Performance</w:t>
            </w:r>
          </w:p>
        </w:tc>
        <w:tc>
          <w:tcPr>
            <w:tcW w:w="2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~20</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85</w:t>
            </w:r>
          </w:p>
        </w:tc>
        <w:tc>
          <w:tcPr>
            <w:tcW w:w="17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Lighthouse CI</w:t>
            </w:r>
          </w:p>
        </w:tc>
      </w:tr>
      <w:tr>
        <w:trPr/>
        <w:tc>
          <w:tcPr>
            <w:tcW w:w="3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Homepage load time (3G mobile)</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8–20s</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&lt; 3s</w:t>
            </w:r>
          </w:p>
        </w:tc>
        <w:tc>
          <w:tcPr>
            <w:tcW w:w="17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WebPageTest</w:t>
            </w:r>
          </w:p>
        </w:tc>
      </w:tr>
      <w:tr>
        <w:trPr/>
        <w:tc>
          <w:tcPr>
            <w:tcW w:w="3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Monthly unique visitors</w:t>
            </w:r>
          </w:p>
        </w:tc>
        <w:tc>
          <w:tcPr>
            <w:tcW w:w="2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Unknown</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5,000/mo</w:t>
            </w:r>
          </w:p>
        </w:tc>
        <w:tc>
          <w:tcPr>
            <w:tcW w:w="17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Plausible</w:t>
            </w:r>
          </w:p>
        </w:tc>
      </w:tr>
      <w:tr>
        <w:trPr/>
        <w:tc>
          <w:tcPr>
            <w:tcW w:w="3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Publications downloaded monthly</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Unknown</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500</w:t>
            </w:r>
          </w:p>
        </w:tc>
        <w:tc>
          <w:tcPr>
            <w:tcW w:w="17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CMS analytics</w:t>
            </w:r>
          </w:p>
        </w:tc>
      </w:tr>
      <w:tr>
        <w:trPr/>
        <w:tc>
          <w:tcPr>
            <w:tcW w:w="3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Newsletter subscribers</w:t>
            </w:r>
          </w:p>
        </w:tc>
        <w:tc>
          <w:tcPr>
            <w:tcW w:w="2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0</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1,000</w:t>
            </w:r>
          </w:p>
        </w:tc>
        <w:tc>
          <w:tcPr>
            <w:tcW w:w="17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Brevo</w:t>
            </w:r>
          </w:p>
        </w:tc>
      </w:tr>
      <w:tr>
        <w:trPr/>
        <w:tc>
          <w:tcPr>
            <w:tcW w:w="3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Newsletter open rate</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30%</w:t>
            </w:r>
          </w:p>
        </w:tc>
        <w:tc>
          <w:tcPr>
            <w:tcW w:w="17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Brevo</w:t>
            </w:r>
          </w:p>
        </w:tc>
      </w:tr>
      <w:tr>
        <w:trPr/>
        <w:tc>
          <w:tcPr>
            <w:tcW w:w="3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NISER Perspectives posts published</w:t>
            </w:r>
          </w:p>
        </w:tc>
        <w:tc>
          <w:tcPr>
            <w:tcW w:w="2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0</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24 (2/mo)</w:t>
            </w:r>
          </w:p>
        </w:tc>
        <w:tc>
          <w:tcPr>
            <w:tcW w:w="17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CMS</w:t>
            </w:r>
          </w:p>
        </w:tc>
      </w:tr>
      <w:tr>
        <w:trPr/>
        <w:tc>
          <w:tcPr>
            <w:tcW w:w="3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Researcher profiles complete</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~10%</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100%</w:t>
            </w:r>
          </w:p>
        </w:tc>
        <w:tc>
          <w:tcPr>
            <w:tcW w:w="17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CMS audit</w:t>
            </w:r>
          </w:p>
        </w:tc>
      </w:tr>
      <w:tr>
        <w:trPr/>
        <w:tc>
          <w:tcPr>
            <w:tcW w:w="3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Open datasets on CKAN</w:t>
            </w:r>
          </w:p>
        </w:tc>
        <w:tc>
          <w:tcPr>
            <w:tcW w:w="2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0</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10</w:t>
            </w:r>
          </w:p>
        </w:tc>
        <w:tc>
          <w:tcPr>
            <w:tcW w:w="17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CKAN admin</w:t>
            </w:r>
          </w:p>
        </w:tc>
      </w:tr>
      <w:tr>
        <w:trPr/>
        <w:tc>
          <w:tcPr>
            <w:tcW w:w="3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WCAG 2.1 AA failures (automated)</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Multiple critical</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0 failures</w:t>
            </w:r>
          </w:p>
        </w:tc>
        <w:tc>
          <w:tcPr>
            <w:tcW w:w="17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Axe/WAVE</w:t>
            </w:r>
          </w:p>
        </w:tc>
      </w:tr>
      <w:tr>
        <w:trPr/>
        <w:tc>
          <w:tcPr>
            <w:tcW w:w="3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Google Search Console indexed pages</w:t>
            </w:r>
          </w:p>
        </w:tc>
        <w:tc>
          <w:tcPr>
            <w:tcW w:w="2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Unknown</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500 pages</w:t>
            </w:r>
          </w:p>
        </w:tc>
        <w:tc>
          <w:tcPr>
            <w:tcW w:w="17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Search Console</w:t>
            </w:r>
          </w:p>
        </w:tc>
      </w:tr>
      <w:tr>
        <w:trPr/>
        <w:tc>
          <w:tcPr>
            <w:tcW w:w="3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AI chatbot answer rate (no fallback)</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 xml:space="preserve">≥ </w:t>
            </w:r>
            <w:r>
              <w:rPr>
                <w:rFonts w:eastAsia="Arial" w:cs="Arial"/>
                <w:b/>
                <w:bCs/>
                <w:color w:val="0F6E56"/>
                <w:sz w:val="20"/>
                <w:szCs w:val="20"/>
              </w:rPr>
              <w:t>80%</w:t>
            </w:r>
          </w:p>
        </w:tc>
        <w:tc>
          <w:tcPr>
            <w:tcW w:w="17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LangSmith / custom log</w:t>
            </w:r>
          </w:p>
        </w:tc>
      </w:tr>
      <w:tr>
        <w:trPr/>
        <w:tc>
          <w:tcPr>
            <w:tcW w:w="3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Policy brief AI-draft-to-publish time</w:t>
            </w:r>
          </w:p>
        </w:tc>
        <w:tc>
          <w:tcPr>
            <w:tcW w:w="2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Manual only</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&lt; 2 hours</w:t>
            </w:r>
          </w:p>
        </w:tc>
        <w:tc>
          <w:tcPr>
            <w:tcW w:w="17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CMS audit log</w:t>
            </w:r>
          </w:p>
        </w:tc>
      </w:tr>
      <w:tr>
        <w:trPr/>
        <w:tc>
          <w:tcPr>
            <w:tcW w:w="3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Daily policy monitor delivery</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Not operational</w:t>
            </w:r>
          </w:p>
        </w:tc>
        <w:tc>
          <w:tcPr>
            <w:tcW w:w="2201" w:type="dxa"/>
            <w:tcBorders>
              <w:top w:val="single" w:sz="2" w:space="0" w:color="D3D1C7"/>
              <w:start w:val="single" w:sz="2" w:space="0" w:color="D3D1C7"/>
              <w:bottom w:val="single" w:sz="2" w:space="0" w:color="D3D1C7"/>
              <w:end w:val="single" w:sz="2" w:space="0" w:color="D3D1C7"/>
            </w:tcBorders>
            <w:shd w:fill="D7F0E8" w:val="clear"/>
          </w:tcPr>
          <w:p>
            <w:pPr>
              <w:pStyle w:val="Normal"/>
              <w:rPr/>
            </w:pPr>
            <w:r>
              <w:rPr>
                <w:rFonts w:eastAsia="Arial" w:cs="Arial"/>
                <w:b/>
                <w:bCs/>
                <w:color w:val="0F6E56"/>
                <w:sz w:val="20"/>
                <w:szCs w:val="20"/>
              </w:rPr>
              <w:t>&lt; 07:00 WAT daily</w:t>
            </w:r>
          </w:p>
        </w:tc>
        <w:tc>
          <w:tcPr>
            <w:tcW w:w="17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Email delivery log</w:t>
            </w:r>
          </w:p>
        </w:tc>
      </w:tr>
    </w:tbl>
    <w:p>
      <w:pPr>
        <w:pStyle w:val="Normal"/>
        <w:spacing w:before="0" w:after="200"/>
        <w:rPr/>
      </w:pPr>
      <w:r>
        <w:rPr/>
      </w:r>
    </w:p>
    <w:p>
      <w:pPr>
        <w:pStyle w:val="Normal"/>
        <w:rPr/>
      </w:pPr>
      <w:r>
        <w:rPr/>
      </w:r>
      <w:r>
        <w:br w:type="page"/>
      </w:r>
    </w:p>
    <w:p>
      <w:pPr>
        <w:pStyle w:val="Normal"/>
        <w:spacing w:before="0" w:after="0"/>
        <w:rPr/>
      </w:pPr>
      <w:r>
        <w:rPr/>
      </w:r>
      <w:r>
        <w:br w:type="page"/>
      </w:r>
    </w:p>
    <w:p>
      <w:pPr>
        <w:pStyle w:val="Heading1"/>
        <w:spacing w:before="0" w:after="80"/>
        <w:rPr/>
      </w:pPr>
      <w:r>
        <w:rPr>
          <w:rFonts w:eastAsia="Arial" w:cs="Arial" w:ascii="Arial" w:hAnsi="Arial"/>
          <w:b/>
          <w:bCs/>
          <w:color w:val="3C3489"/>
          <w:sz w:val="22"/>
          <w:szCs w:val="22"/>
        </w:rPr>
        <w:t>AI &amp; Chatbot Integration Plan</w:t>
      </w:r>
    </w:p>
    <w:p>
      <w:pPr>
        <w:pStyle w:val="Normal"/>
        <w:spacing w:before="0" w:after="120"/>
        <w:rPr/>
      </w:pPr>
      <w:r>
        <w:rPr>
          <w:rFonts w:eastAsia="Arial" w:cs="Arial"/>
          <w:color w:val="1A1A1A"/>
          <w:sz w:val="22"/>
          <w:szCs w:val="22"/>
        </w:rPr>
        <w:t xml:space="preserve">This section details the Artificial Intelligence and Chatbot integration strategy for the NISER website and mobile application. Rather than a single monolithic AI feature, the plan introduces </w:t>
      </w:r>
      <w:r>
        <w:rPr>
          <w:rFonts w:eastAsia="Arial" w:cs="Arial"/>
          <w:b/>
          <w:bCs/>
          <w:color w:val="3C3489"/>
          <w:sz w:val="22"/>
          <w:szCs w:val="22"/>
        </w:rPr>
        <w:t>seven distinct AI-powered capabilities</w:t>
      </w:r>
      <w:r>
        <w:rPr>
          <w:rFonts w:eastAsia="Arial" w:cs="Arial"/>
          <w:color w:val="1A1A1A"/>
          <w:sz w:val="22"/>
          <w:szCs w:val="22"/>
        </w:rPr>
        <w:t xml:space="preserve"> phased across the implementation timeline — from a simple conversational research assistant at launch to a fully autonomous policy monitoring and briefing system by month twelve. All AI integrations are designed to </w:t>
      </w:r>
      <w:r>
        <w:rPr>
          <w:rFonts w:eastAsia="Arial" w:cs="Arial"/>
          <w:b/>
          <w:bCs/>
          <w:color w:val="1A1A1A"/>
          <w:sz w:val="22"/>
          <w:szCs w:val="22"/>
        </w:rPr>
        <w:t>augment NISER's human research capacity</w:t>
      </w:r>
      <w:r>
        <w:rPr>
          <w:rFonts w:eastAsia="Arial" w:cs="Arial"/>
          <w:color w:val="1A1A1A"/>
          <w:sz w:val="22"/>
          <w:szCs w:val="22"/>
        </w:rPr>
        <w:t xml:space="preserve"> without replacing editorial judgement or researcher expertise.</w:t>
      </w:r>
    </w:p>
    <w:p>
      <w:pPr>
        <w:pStyle w:val="Normal"/>
        <w:spacing w:before="0" w:after="120"/>
        <w:rPr/>
      </w:pPr>
      <w:r>
        <w:rPr>
          <w:rFonts w:eastAsia="Arial" w:cs="Arial"/>
          <w:color w:val="1A1A1A"/>
          <w:sz w:val="22"/>
          <w:szCs w:val="22"/>
        </w:rPr>
        <w:t xml:space="preserve">Each integration is evaluated for </w:t>
      </w:r>
      <w:r>
        <w:rPr>
          <w:rFonts w:eastAsia="Arial" w:cs="Arial"/>
          <w:b/>
          <w:bCs/>
          <w:color w:val="1A1A1A"/>
          <w:sz w:val="22"/>
          <w:szCs w:val="22"/>
        </w:rPr>
        <w:t>cost</w:t>
      </w:r>
      <w:r>
        <w:rPr>
          <w:rFonts w:eastAsia="Arial" w:cs="Arial"/>
          <w:color w:val="1A1A1A"/>
          <w:sz w:val="22"/>
          <w:szCs w:val="22"/>
        </w:rPr>
        <w:t xml:space="preserve">, </w:t>
      </w:r>
      <w:r>
        <w:rPr>
          <w:rFonts w:eastAsia="Arial" w:cs="Arial"/>
          <w:b/>
          <w:bCs/>
          <w:color w:val="1A1A1A"/>
          <w:sz w:val="22"/>
          <w:szCs w:val="22"/>
        </w:rPr>
        <w:t>data privacy</w:t>
      </w:r>
      <w:r>
        <w:rPr>
          <w:rFonts w:eastAsia="Arial" w:cs="Arial"/>
          <w:color w:val="1A1A1A"/>
          <w:sz w:val="22"/>
          <w:szCs w:val="22"/>
        </w:rPr>
        <w:t xml:space="preserve"> (critical given NISER's government affiliation and NDPR obligations), </w:t>
      </w:r>
      <w:r>
        <w:rPr>
          <w:rFonts w:eastAsia="Arial" w:cs="Arial"/>
          <w:b/>
          <w:bCs/>
          <w:color w:val="1A1A1A"/>
          <w:sz w:val="22"/>
          <w:szCs w:val="22"/>
        </w:rPr>
        <w:t>technical complexity</w:t>
      </w:r>
      <w:r>
        <w:rPr>
          <w:rFonts w:eastAsia="Arial" w:cs="Arial"/>
          <w:color w:val="1A1A1A"/>
          <w:sz w:val="22"/>
          <w:szCs w:val="22"/>
        </w:rPr>
        <w:t xml:space="preserve">, and </w:t>
      </w:r>
      <w:r>
        <w:rPr>
          <w:rFonts w:eastAsia="Arial" w:cs="Arial"/>
          <w:b/>
          <w:bCs/>
          <w:color w:val="1A1A1A"/>
          <w:sz w:val="22"/>
          <w:szCs w:val="22"/>
        </w:rPr>
        <w:t>institutional value</w:t>
      </w:r>
      <w:r>
        <w:rPr>
          <w:rFonts w:eastAsia="Arial" w:cs="Arial"/>
          <w:color w:val="1A1A1A"/>
          <w:sz w:val="22"/>
          <w:szCs w:val="22"/>
        </w:rPr>
        <w:t>. Where AI models are used, NISER's sensitive internal data never leaves its own infrastructure unless an explicit decision to use a cloud API is made and documented.</w:t>
      </w:r>
    </w:p>
    <w:tbl>
      <w:tblPr>
        <w:tblW w:w="9360" w:type="dxa"/>
        <w:jc w:val="start"/>
        <w:tblInd w:w="0" w:type="dxa"/>
        <w:tblLayout w:type="fixed"/>
        <w:tblCellMar>
          <w:top w:w="120" w:type="dxa"/>
          <w:start w:w="160" w:type="dxa"/>
          <w:bottom w:w="120" w:type="dxa"/>
          <w:end w:w="160" w:type="dxa"/>
        </w:tblCellMar>
      </w:tblPr>
      <w:tblGrid>
        <w:gridCol w:w="2340"/>
        <w:gridCol w:w="2340"/>
        <w:gridCol w:w="2340"/>
        <w:gridCol w:w="2340"/>
      </w:tblGrid>
      <w:tr>
        <w:trPr/>
        <w:tc>
          <w:tcPr>
            <w:tcW w:w="2340" w:type="dxa"/>
            <w:tcBorders>
              <w:top w:val="single" w:sz="2" w:space="0" w:color="D3D1C7"/>
              <w:start w:val="single" w:sz="2" w:space="0" w:color="D3D1C7"/>
              <w:bottom w:val="single" w:sz="2" w:space="0" w:color="D3D1C7"/>
              <w:end w:val="single" w:sz="2" w:space="0" w:color="D3D1C7"/>
            </w:tcBorders>
            <w:shd w:fill="EEEDFE" w:val="clear"/>
          </w:tcPr>
          <w:p>
            <w:pPr>
              <w:pStyle w:val="Normal"/>
              <w:jc w:val="center"/>
              <w:rPr/>
            </w:pPr>
            <w:r>
              <w:rPr>
                <w:rFonts w:eastAsia="Arial" w:cs="Arial"/>
                <w:color w:val="5F5E5A"/>
                <w:sz w:val="18"/>
                <w:szCs w:val="18"/>
              </w:rPr>
              <w:t>AI capabilities</w:t>
            </w:r>
          </w:p>
          <w:p>
            <w:pPr>
              <w:pStyle w:val="Normal"/>
              <w:jc w:val="center"/>
              <w:rPr/>
            </w:pPr>
            <w:r>
              <w:rPr>
                <w:rFonts w:eastAsia="Arial" w:cs="Arial"/>
                <w:b/>
                <w:bCs/>
                <w:color w:val="3C3489"/>
                <w:sz w:val="40"/>
                <w:szCs w:val="40"/>
              </w:rPr>
              <w:t>7 integrations</w:t>
            </w:r>
          </w:p>
        </w:tc>
        <w:tc>
          <w:tcPr>
            <w:tcW w:w="2340" w:type="dxa"/>
            <w:tcBorders>
              <w:top w:val="single" w:sz="2" w:space="0" w:color="D3D1C7"/>
              <w:start w:val="single" w:sz="2" w:space="0" w:color="D3D1C7"/>
              <w:bottom w:val="single" w:sz="2" w:space="0" w:color="D3D1C7"/>
              <w:end w:val="single" w:sz="2" w:space="0" w:color="D3D1C7"/>
            </w:tcBorders>
            <w:shd w:fill="EAF3DE" w:val="clear"/>
          </w:tcPr>
          <w:p>
            <w:pPr>
              <w:pStyle w:val="Normal"/>
              <w:jc w:val="center"/>
              <w:rPr/>
            </w:pPr>
            <w:r>
              <w:rPr>
                <w:rFonts w:eastAsia="Arial" w:cs="Arial"/>
                <w:color w:val="5F5E5A"/>
                <w:sz w:val="18"/>
                <w:szCs w:val="18"/>
              </w:rPr>
              <w:t>Launch-ready (Phase 2)</w:t>
            </w:r>
          </w:p>
          <w:p>
            <w:pPr>
              <w:pStyle w:val="Normal"/>
              <w:jc w:val="center"/>
              <w:rPr/>
            </w:pPr>
            <w:r>
              <w:rPr>
                <w:rFonts w:eastAsia="Arial" w:cs="Arial"/>
                <w:b/>
                <w:bCs/>
                <w:color w:val="3B6D11"/>
                <w:sz w:val="40"/>
                <w:szCs w:val="40"/>
              </w:rPr>
              <w:t>3 features</w:t>
            </w:r>
          </w:p>
        </w:tc>
        <w:tc>
          <w:tcPr>
            <w:tcW w:w="234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color w:val="5F5E5A"/>
                <w:sz w:val="18"/>
                <w:szCs w:val="18"/>
              </w:rPr>
              <w:t>Phase 3–4 features</w:t>
            </w:r>
          </w:p>
          <w:p>
            <w:pPr>
              <w:pStyle w:val="Normal"/>
              <w:jc w:val="center"/>
              <w:rPr/>
            </w:pPr>
            <w:r>
              <w:rPr>
                <w:rFonts w:eastAsia="Arial" w:cs="Arial"/>
                <w:b/>
                <w:bCs/>
                <w:color w:val="185FA5"/>
                <w:sz w:val="40"/>
                <w:szCs w:val="40"/>
              </w:rPr>
              <w:t>4 features</w:t>
            </w:r>
          </w:p>
        </w:tc>
        <w:tc>
          <w:tcPr>
            <w:tcW w:w="2340" w:type="dxa"/>
            <w:tcBorders>
              <w:top w:val="single" w:sz="2" w:space="0" w:color="D3D1C7"/>
              <w:start w:val="single" w:sz="2" w:space="0" w:color="D3D1C7"/>
              <w:bottom w:val="single" w:sz="2" w:space="0" w:color="D3D1C7"/>
              <w:end w:val="single" w:sz="2" w:space="0" w:color="D3D1C7"/>
            </w:tcBorders>
            <w:shd w:fill="FAEEDA" w:val="clear"/>
          </w:tcPr>
          <w:p>
            <w:pPr>
              <w:pStyle w:val="Normal"/>
              <w:jc w:val="center"/>
              <w:rPr/>
            </w:pPr>
            <w:r>
              <w:rPr>
                <w:rFonts w:eastAsia="Arial" w:cs="Arial"/>
                <w:color w:val="5F5E5A"/>
                <w:sz w:val="18"/>
                <w:szCs w:val="18"/>
              </w:rPr>
              <w:t>Self-hosted AI options</w:t>
            </w:r>
          </w:p>
          <w:p>
            <w:pPr>
              <w:pStyle w:val="Normal"/>
              <w:jc w:val="center"/>
              <w:rPr/>
            </w:pPr>
            <w:r>
              <w:rPr>
                <w:rFonts w:eastAsia="Arial" w:cs="Arial"/>
                <w:b/>
                <w:bCs/>
                <w:color w:val="854F0B"/>
                <w:sz w:val="40"/>
                <w:szCs w:val="40"/>
              </w:rPr>
              <w:t>4 of 7</w:t>
            </w:r>
          </w:p>
        </w:tc>
      </w:tr>
    </w:tbl>
    <w:p>
      <w:pPr>
        <w:pStyle w:val="Normal"/>
        <w:spacing w:before="0" w:after="200"/>
        <w:rPr/>
      </w:pPr>
      <w:r>
        <w:rPr/>
      </w:r>
    </w:p>
    <w:p>
      <w:pPr>
        <w:pStyle w:val="Heading2"/>
        <w:spacing w:before="140" w:after="80"/>
        <w:rPr/>
      </w:pPr>
      <w:r>
        <w:rPr>
          <w:rFonts w:eastAsia="Arial" w:cs="Arial" w:ascii="Arial" w:hAnsi="Arial"/>
          <w:b/>
          <w:bCs/>
          <w:color w:val="854F0B"/>
          <w:sz w:val="22"/>
          <w:szCs w:val="22"/>
        </w:rPr>
        <w:t>AI Capability Overview</w:t>
      </w:r>
    </w:p>
    <w:tbl>
      <w:tblPr>
        <w:tblW w:w="9360" w:type="dxa"/>
        <w:jc w:val="start"/>
        <w:tblInd w:w="0" w:type="dxa"/>
        <w:tblLayout w:type="fixed"/>
        <w:tblCellMar>
          <w:top w:w="80" w:type="dxa"/>
          <w:start w:w="120" w:type="dxa"/>
          <w:bottom w:w="80" w:type="dxa"/>
          <w:end w:w="120" w:type="dxa"/>
        </w:tblCellMar>
      </w:tblPr>
      <w:tblGrid>
        <w:gridCol w:w="361"/>
        <w:gridCol w:w="1988"/>
        <w:gridCol w:w="1409"/>
        <w:gridCol w:w="1084"/>
        <w:gridCol w:w="1084"/>
        <w:gridCol w:w="1265"/>
        <w:gridCol w:w="2169"/>
      </w:tblGrid>
      <w:tr>
        <w:trPr/>
        <w:tc>
          <w:tcPr>
            <w:tcW w:w="3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w:t>
            </w:r>
          </w:p>
        </w:tc>
        <w:tc>
          <w:tcPr>
            <w:tcW w:w="1988" w:type="dxa"/>
            <w:tcBorders>
              <w:top w:val="single" w:sz="2" w:space="0" w:color="3C3489"/>
              <w:start w:val="single" w:sz="2" w:space="0" w:color="3C3489"/>
              <w:bottom w:val="single" w:sz="2" w:space="0" w:color="3C3489"/>
              <w:end w:val="single" w:sz="2" w:space="0" w:color="3C3489"/>
            </w:tcBorders>
            <w:shd w:fill="3C3489" w:val="clear"/>
            <w:vAlign w:val="center"/>
          </w:tcPr>
          <w:p>
            <w:pPr>
              <w:pStyle w:val="Normal"/>
              <w:jc w:val="center"/>
              <w:rPr/>
            </w:pPr>
            <w:r>
              <w:rPr>
                <w:rFonts w:eastAsia="Arial" w:cs="Arial"/>
                <w:b/>
                <w:bCs/>
                <w:color w:val="FFFFFF"/>
                <w:sz w:val="20"/>
                <w:szCs w:val="20"/>
              </w:rPr>
              <w:t>Capability</w:t>
            </w:r>
          </w:p>
        </w:tc>
        <w:tc>
          <w:tcPr>
            <w:tcW w:w="1409" w:type="dxa"/>
            <w:tcBorders>
              <w:top w:val="single" w:sz="2" w:space="0" w:color="3C3489"/>
              <w:start w:val="single" w:sz="2" w:space="0" w:color="3C3489"/>
              <w:bottom w:val="single" w:sz="2" w:space="0" w:color="3C3489"/>
              <w:end w:val="single" w:sz="2" w:space="0" w:color="3C3489"/>
            </w:tcBorders>
            <w:shd w:fill="3C3489" w:val="clear"/>
            <w:vAlign w:val="center"/>
          </w:tcPr>
          <w:p>
            <w:pPr>
              <w:pStyle w:val="Normal"/>
              <w:jc w:val="center"/>
              <w:rPr/>
            </w:pPr>
            <w:r>
              <w:rPr>
                <w:rFonts w:eastAsia="Arial" w:cs="Arial"/>
                <w:b/>
                <w:bCs/>
                <w:color w:val="FFFFFF"/>
                <w:sz w:val="20"/>
                <w:szCs w:val="20"/>
              </w:rPr>
              <w:t>Primary user</w:t>
            </w:r>
          </w:p>
        </w:tc>
        <w:tc>
          <w:tcPr>
            <w:tcW w:w="1084"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Phase</w:t>
            </w:r>
          </w:p>
        </w:tc>
        <w:tc>
          <w:tcPr>
            <w:tcW w:w="1084"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Est. cost/mo</w:t>
            </w:r>
          </w:p>
        </w:tc>
        <w:tc>
          <w:tcPr>
            <w:tcW w:w="1265"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Model/tool</w:t>
            </w:r>
          </w:p>
        </w:tc>
        <w:tc>
          <w:tcPr>
            <w:tcW w:w="216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NDPR risk</w:t>
            </w:r>
          </w:p>
        </w:tc>
      </w:tr>
      <w:tr>
        <w:trPr/>
        <w:tc>
          <w:tcPr>
            <w:tcW w:w="361"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20"/>
                <w:szCs w:val="20"/>
              </w:rPr>
              <w:t>1</w:t>
            </w:r>
          </w:p>
        </w:tc>
        <w:tc>
          <w:tcPr>
            <w:tcW w:w="1988"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19"/>
                <w:szCs w:val="19"/>
              </w:rPr>
              <w:t>NISER Research Chatbot</w:t>
            </w:r>
          </w:p>
        </w:tc>
        <w:tc>
          <w:tcPr>
            <w:tcW w:w="140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Public visitors, researchers</w:t>
            </w:r>
          </w:p>
        </w:tc>
        <w:tc>
          <w:tcPr>
            <w:tcW w:w="1084"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0F6E56"/>
                <w:sz w:val="19"/>
                <w:szCs w:val="19"/>
              </w:rPr>
              <w:t>Phase 2</w:t>
            </w:r>
          </w:p>
        </w:tc>
        <w:tc>
          <w:tcPr>
            <w:tcW w:w="1084"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0D2E5A"/>
                <w:sz w:val="19"/>
                <w:szCs w:val="19"/>
              </w:rPr>
              <w:t>$0–20</w:t>
            </w:r>
          </w:p>
        </w:tc>
        <w:tc>
          <w:tcPr>
            <w:tcW w:w="1265"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Llama 3 (self-hosted)</w:t>
            </w:r>
          </w:p>
        </w:tc>
        <w:tc>
          <w:tcPr>
            <w:tcW w:w="216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3B6D11"/>
                <w:sz w:val="19"/>
                <w:szCs w:val="19"/>
              </w:rPr>
              <w:t>Low — self-hosted</w:t>
            </w:r>
          </w:p>
        </w:tc>
      </w:tr>
      <w:tr>
        <w:trPr/>
        <w:tc>
          <w:tcPr>
            <w:tcW w:w="361"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20"/>
                <w:szCs w:val="20"/>
              </w:rPr>
              <w:t>2</w:t>
            </w:r>
          </w:p>
        </w:tc>
        <w:tc>
          <w:tcPr>
            <w:tcW w:w="1988"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19"/>
                <w:szCs w:val="19"/>
              </w:rPr>
              <w:t>AI-Powered Publication Search</w:t>
            </w:r>
          </w:p>
        </w:tc>
        <w:tc>
          <w:tcPr>
            <w:tcW w:w="140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All users</w:t>
            </w:r>
          </w:p>
        </w:tc>
        <w:tc>
          <w:tcPr>
            <w:tcW w:w="1084"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0F6E56"/>
                <w:sz w:val="19"/>
                <w:szCs w:val="19"/>
              </w:rPr>
              <w:t>Phase 2</w:t>
            </w:r>
          </w:p>
        </w:tc>
        <w:tc>
          <w:tcPr>
            <w:tcW w:w="1084"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0F6E56"/>
                <w:sz w:val="19"/>
                <w:szCs w:val="19"/>
              </w:rPr>
              <w:t>$0</w:t>
            </w:r>
          </w:p>
        </w:tc>
        <w:tc>
          <w:tcPr>
            <w:tcW w:w="1265"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Semantic embeddings</w:t>
            </w:r>
          </w:p>
        </w:tc>
        <w:tc>
          <w:tcPr>
            <w:tcW w:w="216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3B6D11"/>
                <w:sz w:val="19"/>
                <w:szCs w:val="19"/>
              </w:rPr>
              <w:t>Low — on-premise</w:t>
            </w:r>
          </w:p>
        </w:tc>
      </w:tr>
      <w:tr>
        <w:trPr/>
        <w:tc>
          <w:tcPr>
            <w:tcW w:w="361" w:type="dxa"/>
            <w:tcBorders>
              <w:top w:val="single" w:sz="2" w:space="0" w:color="EEEDFE"/>
              <w:start w:val="single" w:sz="2" w:space="0" w:color="EEEDFE"/>
              <w:bottom w:val="single" w:sz="2" w:space="0" w:color="EEEDFE"/>
              <w:end w:val="single" w:sz="2" w:space="0" w:color="EEEDFE"/>
            </w:tcBorders>
            <w:shd w:fill="EEEDFE" w:val="clear"/>
            <w:tcMar>
              <w:start w:w="80" w:type="dxa"/>
              <w:end w:w="80" w:type="dxa"/>
            </w:tcMar>
            <w:vAlign w:val="center"/>
          </w:tcPr>
          <w:p>
            <w:pPr>
              <w:pStyle w:val="Normal"/>
              <w:jc w:val="center"/>
              <w:rPr/>
            </w:pPr>
            <w:r>
              <w:rPr>
                <w:rFonts w:eastAsia="Arial" w:cs="Arial"/>
                <w:b/>
                <w:bCs/>
                <w:color w:val="3C3489"/>
                <w:sz w:val="20"/>
                <w:szCs w:val="20"/>
              </w:rPr>
              <w:t>3</w:t>
            </w:r>
          </w:p>
        </w:tc>
        <w:tc>
          <w:tcPr>
            <w:tcW w:w="1988"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19"/>
                <w:szCs w:val="19"/>
              </w:rPr>
              <w:t>Automated Policy Brief Generator</w:t>
            </w:r>
          </w:p>
        </w:tc>
        <w:tc>
          <w:tcPr>
            <w:tcW w:w="140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Research staff</w:t>
            </w:r>
          </w:p>
        </w:tc>
        <w:tc>
          <w:tcPr>
            <w:tcW w:w="1084"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0F6E56"/>
                <w:sz w:val="19"/>
                <w:szCs w:val="19"/>
              </w:rPr>
              <w:t>Phase 2</w:t>
            </w:r>
          </w:p>
        </w:tc>
        <w:tc>
          <w:tcPr>
            <w:tcW w:w="1084"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0D2E5A"/>
                <w:sz w:val="19"/>
                <w:szCs w:val="19"/>
              </w:rPr>
              <w:t>$10–30</w:t>
            </w:r>
          </w:p>
        </w:tc>
        <w:tc>
          <w:tcPr>
            <w:tcW w:w="1265"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Claude API / GPT-4o</w:t>
            </w:r>
          </w:p>
        </w:tc>
        <w:tc>
          <w:tcPr>
            <w:tcW w:w="216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854F0B"/>
                <w:sz w:val="19"/>
                <w:szCs w:val="19"/>
              </w:rPr>
              <w:t>Medium — API call</w:t>
            </w:r>
          </w:p>
        </w:tc>
      </w:tr>
      <w:tr>
        <w:trPr/>
        <w:tc>
          <w:tcPr>
            <w:tcW w:w="361" w:type="dxa"/>
            <w:tcBorders>
              <w:top w:val="single" w:sz="2" w:space="0" w:color="D6E8F7"/>
              <w:start w:val="single" w:sz="2" w:space="0" w:color="D6E8F7"/>
              <w:bottom w:val="single" w:sz="2" w:space="0" w:color="D6E8F7"/>
              <w:end w:val="single" w:sz="2" w:space="0" w:color="D6E8F7"/>
            </w:tcBorders>
            <w:shd w:fill="D6E8F7" w:val="clear"/>
            <w:tcMar>
              <w:start w:w="80" w:type="dxa"/>
              <w:end w:w="80" w:type="dxa"/>
            </w:tcMar>
            <w:vAlign w:val="center"/>
          </w:tcPr>
          <w:p>
            <w:pPr>
              <w:pStyle w:val="Normal"/>
              <w:jc w:val="center"/>
              <w:rPr/>
            </w:pPr>
            <w:r>
              <w:rPr>
                <w:rFonts w:eastAsia="Arial" w:cs="Arial"/>
                <w:b/>
                <w:bCs/>
                <w:color w:val="185FA5"/>
                <w:sz w:val="20"/>
                <w:szCs w:val="20"/>
              </w:rPr>
              <w:t>4</w:t>
            </w:r>
          </w:p>
        </w:tc>
        <w:tc>
          <w:tcPr>
            <w:tcW w:w="1988"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19"/>
                <w:szCs w:val="19"/>
              </w:rPr>
              <w:t>AI Literature Review Assistant</w:t>
            </w:r>
          </w:p>
        </w:tc>
        <w:tc>
          <w:tcPr>
            <w:tcW w:w="140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Researchers</w:t>
            </w:r>
          </w:p>
        </w:tc>
        <w:tc>
          <w:tcPr>
            <w:tcW w:w="1084"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85FA5"/>
                <w:sz w:val="19"/>
                <w:szCs w:val="19"/>
              </w:rPr>
              <w:t>Phase 3</w:t>
            </w:r>
          </w:p>
        </w:tc>
        <w:tc>
          <w:tcPr>
            <w:tcW w:w="1084"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0D2E5A"/>
                <w:sz w:val="19"/>
                <w:szCs w:val="19"/>
              </w:rPr>
              <w:t>$20–50</w:t>
            </w:r>
          </w:p>
        </w:tc>
        <w:tc>
          <w:tcPr>
            <w:tcW w:w="1265"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Claude API + RAG</w:t>
            </w:r>
          </w:p>
        </w:tc>
        <w:tc>
          <w:tcPr>
            <w:tcW w:w="216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854F0B"/>
                <w:sz w:val="19"/>
                <w:szCs w:val="19"/>
              </w:rPr>
              <w:t>Medium — API call</w:t>
            </w:r>
          </w:p>
        </w:tc>
      </w:tr>
      <w:tr>
        <w:trPr/>
        <w:tc>
          <w:tcPr>
            <w:tcW w:w="361" w:type="dxa"/>
            <w:tcBorders>
              <w:top w:val="single" w:sz="2" w:space="0" w:color="D6E8F7"/>
              <w:start w:val="single" w:sz="2" w:space="0" w:color="D6E8F7"/>
              <w:bottom w:val="single" w:sz="2" w:space="0" w:color="D6E8F7"/>
              <w:end w:val="single" w:sz="2" w:space="0" w:color="D6E8F7"/>
            </w:tcBorders>
            <w:shd w:fill="D6E8F7" w:val="clear"/>
            <w:tcMar>
              <w:start w:w="80" w:type="dxa"/>
              <w:end w:w="80" w:type="dxa"/>
            </w:tcMar>
            <w:vAlign w:val="center"/>
          </w:tcPr>
          <w:p>
            <w:pPr>
              <w:pStyle w:val="Normal"/>
              <w:jc w:val="center"/>
              <w:rPr/>
            </w:pPr>
            <w:r>
              <w:rPr>
                <w:rFonts w:eastAsia="Arial" w:cs="Arial"/>
                <w:b/>
                <w:bCs/>
                <w:color w:val="185FA5"/>
                <w:sz w:val="20"/>
                <w:szCs w:val="20"/>
              </w:rPr>
              <w:t>5</w:t>
            </w:r>
          </w:p>
        </w:tc>
        <w:tc>
          <w:tcPr>
            <w:tcW w:w="1988"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19"/>
                <w:szCs w:val="19"/>
              </w:rPr>
              <w:t>Intelligent Content Recommendations</w:t>
            </w:r>
          </w:p>
        </w:tc>
        <w:tc>
          <w:tcPr>
            <w:tcW w:w="140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Website visitors</w:t>
            </w:r>
          </w:p>
        </w:tc>
        <w:tc>
          <w:tcPr>
            <w:tcW w:w="1084"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85FA5"/>
                <w:sz w:val="19"/>
                <w:szCs w:val="19"/>
              </w:rPr>
              <w:t>Phase 3</w:t>
            </w:r>
          </w:p>
        </w:tc>
        <w:tc>
          <w:tcPr>
            <w:tcW w:w="1084"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0F6E56"/>
                <w:sz w:val="19"/>
                <w:szCs w:val="19"/>
              </w:rPr>
              <w:t>$0</w:t>
            </w:r>
          </w:p>
        </w:tc>
        <w:tc>
          <w:tcPr>
            <w:tcW w:w="1265"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On-device ML</w:t>
            </w:r>
          </w:p>
        </w:tc>
        <w:tc>
          <w:tcPr>
            <w:tcW w:w="216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3B6D11"/>
                <w:sz w:val="19"/>
                <w:szCs w:val="19"/>
              </w:rPr>
              <w:t>Low — no data sent</w:t>
            </w:r>
          </w:p>
        </w:tc>
      </w:tr>
      <w:tr>
        <w:trPr/>
        <w:tc>
          <w:tcPr>
            <w:tcW w:w="361" w:type="dxa"/>
            <w:tcBorders>
              <w:top w:val="single" w:sz="2" w:space="0" w:color="FAEEDA"/>
              <w:start w:val="single" w:sz="2" w:space="0" w:color="FAEEDA"/>
              <w:bottom w:val="single" w:sz="2" w:space="0" w:color="FAEEDA"/>
              <w:end w:val="single" w:sz="2" w:space="0" w:color="FAEEDA"/>
            </w:tcBorders>
            <w:shd w:fill="FAEEDA" w:val="clear"/>
            <w:tcMar>
              <w:start w:w="80" w:type="dxa"/>
              <w:end w:w="80" w:type="dxa"/>
            </w:tcMar>
            <w:vAlign w:val="center"/>
          </w:tcPr>
          <w:p>
            <w:pPr>
              <w:pStyle w:val="Normal"/>
              <w:jc w:val="center"/>
              <w:rPr/>
            </w:pPr>
            <w:r>
              <w:rPr>
                <w:rFonts w:eastAsia="Arial" w:cs="Arial"/>
                <w:b/>
                <w:bCs/>
                <w:color w:val="854F0B"/>
                <w:sz w:val="20"/>
                <w:szCs w:val="20"/>
              </w:rPr>
              <w:t>6</w:t>
            </w:r>
          </w:p>
        </w:tc>
        <w:tc>
          <w:tcPr>
            <w:tcW w:w="1988"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19"/>
                <w:szCs w:val="19"/>
              </w:rPr>
              <w:t>Automated Policy Monitoring &amp; Alerts</w:t>
            </w:r>
          </w:p>
        </w:tc>
        <w:tc>
          <w:tcPr>
            <w:tcW w:w="140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Research staff</w:t>
            </w:r>
          </w:p>
        </w:tc>
        <w:tc>
          <w:tcPr>
            <w:tcW w:w="1084"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854F0B"/>
                <w:sz w:val="19"/>
                <w:szCs w:val="19"/>
              </w:rPr>
              <w:t>Phase 4</w:t>
            </w:r>
          </w:p>
        </w:tc>
        <w:tc>
          <w:tcPr>
            <w:tcW w:w="1084"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0D2E5A"/>
                <w:sz w:val="19"/>
                <w:szCs w:val="19"/>
              </w:rPr>
              <w:t>$15–40</w:t>
            </w:r>
          </w:p>
        </w:tc>
        <w:tc>
          <w:tcPr>
            <w:tcW w:w="1265"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LLM + RSS pipeline</w:t>
            </w:r>
          </w:p>
        </w:tc>
        <w:tc>
          <w:tcPr>
            <w:tcW w:w="216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3B6D11"/>
                <w:sz w:val="19"/>
                <w:szCs w:val="19"/>
              </w:rPr>
              <w:t>Low — summarisation only</w:t>
            </w:r>
          </w:p>
        </w:tc>
      </w:tr>
      <w:tr>
        <w:trPr/>
        <w:tc>
          <w:tcPr>
            <w:tcW w:w="361" w:type="dxa"/>
            <w:tcBorders>
              <w:top w:val="single" w:sz="2" w:space="0" w:color="FAEEDA"/>
              <w:start w:val="single" w:sz="2" w:space="0" w:color="FAEEDA"/>
              <w:bottom w:val="single" w:sz="2" w:space="0" w:color="FAEEDA"/>
              <w:end w:val="single" w:sz="2" w:space="0" w:color="FAEEDA"/>
            </w:tcBorders>
            <w:shd w:fill="FAEEDA" w:val="clear"/>
            <w:tcMar>
              <w:start w:w="80" w:type="dxa"/>
              <w:end w:w="80" w:type="dxa"/>
            </w:tcMar>
            <w:vAlign w:val="center"/>
          </w:tcPr>
          <w:p>
            <w:pPr>
              <w:pStyle w:val="Normal"/>
              <w:jc w:val="center"/>
              <w:rPr/>
            </w:pPr>
            <w:r>
              <w:rPr>
                <w:rFonts w:eastAsia="Arial" w:cs="Arial"/>
                <w:b/>
                <w:bCs/>
                <w:color w:val="854F0B"/>
                <w:sz w:val="20"/>
                <w:szCs w:val="20"/>
              </w:rPr>
              <w:t>7</w:t>
            </w:r>
          </w:p>
        </w:tc>
        <w:tc>
          <w:tcPr>
            <w:tcW w:w="1988"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19"/>
                <w:szCs w:val="19"/>
              </w:rPr>
              <w:t>AI Translation Layer</w:t>
            </w:r>
          </w:p>
        </w:tc>
        <w:tc>
          <w:tcPr>
            <w:tcW w:w="140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Public — multilingual</w:t>
            </w:r>
          </w:p>
        </w:tc>
        <w:tc>
          <w:tcPr>
            <w:tcW w:w="1084"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854F0B"/>
                <w:sz w:val="19"/>
                <w:szCs w:val="19"/>
              </w:rPr>
              <w:t>Phase 4</w:t>
            </w:r>
          </w:p>
        </w:tc>
        <w:tc>
          <w:tcPr>
            <w:tcW w:w="1084"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0D2E5A"/>
                <w:sz w:val="19"/>
                <w:szCs w:val="19"/>
              </w:rPr>
              <w:t>$10–30</w:t>
            </w:r>
          </w:p>
        </w:tc>
        <w:tc>
          <w:tcPr>
            <w:tcW w:w="1265"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NLLB (self-hosted)</w:t>
            </w:r>
          </w:p>
        </w:tc>
        <w:tc>
          <w:tcPr>
            <w:tcW w:w="216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3B6D11"/>
                <w:sz w:val="19"/>
                <w:szCs w:val="19"/>
              </w:rPr>
              <w:t>Low — self-hosted</w:t>
            </w:r>
          </w:p>
        </w:tc>
      </w:tr>
    </w:tbl>
    <w:p>
      <w:pPr>
        <w:pStyle w:val="Normal"/>
        <w:spacing w:before="0" w:after="200"/>
        <w:rPr/>
      </w:pPr>
      <w:r>
        <w:rPr/>
      </w:r>
    </w:p>
    <w:p>
      <w:pPr>
        <w:pStyle w:val="Heading2"/>
        <w:spacing w:before="140" w:after="80"/>
        <w:rPr/>
      </w:pPr>
      <w:r>
        <w:rPr>
          <w:rFonts w:eastAsia="Arial" w:cs="Arial" w:ascii="Arial" w:hAnsi="Arial"/>
          <w:b/>
          <w:bCs/>
          <w:color w:val="854F0B"/>
          <w:sz w:val="22"/>
          <w:szCs w:val="22"/>
        </w:rPr>
        <w:t>Capability 1 — NISER Research Chatbot</w:t>
      </w:r>
    </w:p>
    <w:p>
      <w:pPr>
        <w:pStyle w:val="Normal"/>
        <w:spacing w:before="0" w:after="80"/>
        <w:rPr/>
      </w:pPr>
      <w:r>
        <w:rPr>
          <w:rFonts w:eastAsia="Arial" w:cs="Arial"/>
          <w:b/>
          <w:bCs/>
          <w:color w:val="1A1A1A"/>
          <w:sz w:val="22"/>
          <w:szCs w:val="22"/>
        </w:rPr>
        <w:t xml:space="preserve">What it does: </w:t>
      </w:r>
      <w:r>
        <w:rPr>
          <w:rFonts w:eastAsia="Arial" w:cs="Arial"/>
          <w:color w:val="1A1A1A"/>
          <w:sz w:val="22"/>
          <w:szCs w:val="22"/>
        </w:rPr>
        <w:t>A conversational AI assistant embedded on the NISER website and mobile app that answers questions about NISER's research, publications, and policy areas. Visitors can ask questions such as 'What has NISER published on agricultural policy in the last 3 years?' or 'Who is NISER's expert on poverty measurement?' and receive accurate, source-cited answers drawn exclusively from NISER's own content.</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Aspect</w:t>
            </w:r>
          </w:p>
        </w:tc>
        <w:tc>
          <w:tcPr>
            <w:tcW w:w="71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Model</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Llama 3.1 8B (Meta, open-source) — self-hosted on InterServer VPS or a dedicated GPU instance. Alternatively: Claude Haiku API or GPT-4o mini API for lower infrastructure overhead at slightly higher variable cost.</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Architecture</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Retrieval-Augmented Generation (RAG). The model does NOT answer from training data — it retrieves relevant chunks from NISER's indexed content (publications, researcher profiles, policy briefs, news) via Elasticsearch or Meilisearch, then generates a grounded, cited response.</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Knowledge base</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NISER publications (abstracts + full text where available), researcher profiles, policy briefs, news items, CKAN dataset descriptions, and the About NISER pages. Updated automatically whenever new content is published in the CMS.</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Interface</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Floating chat widget on all website pages (bottom-right); dedicated 'Ask NISER' screen in the mobile app. Supports multi-turn conversation (remembers context within the session). 'Clear chat' button for privacy.</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Citation requirement</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Every response includes a 'Sources' section listing the specific NISER publications or pages used. Links open the source document directly. The chatbot explicitly states it cannot answer questions outside NISER's knowledge base.</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Guardrails</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System prompt strictly limits the chatbot to NISER's research domain. Questions outside scope (e.g., general knowledge, political opinions, personal advice) receive: 'I can only assist with questions related to NISER's research and publications. For this topic, please consult [alternative resource].'</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NDPR compliance</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No personally identifiable information is stored. Chat sessions are ephemeral — not logged to any database. If a user provides their name or email in the chat, it is not retained. A privacy notice appears when the chat widget is first opened.</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Fallback</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If the chatbot cannot find a relevant answer with sufficient confidence, it responds: 'I don't have enough information to answer this accurately. I recommend contacting NISER directly at [email] or browsing the Publications section.' No hallucinated answers.</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Cost estimate</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Self-hosted Llama 3.1 8B: $0 model cost + $20–40/month GPU compute (Vast.ai or RunPod). Claude Haiku API: ~$0.25 per 1,000 conversations at average 4,000 tokens each. At 500 conversations/month: ~$0.50. Highly affordable.</w:t>
            </w:r>
          </w:p>
        </w:tc>
      </w:tr>
    </w:tbl>
    <w:p>
      <w:pPr>
        <w:pStyle w:val="Normal"/>
        <w:spacing w:before="0" w:after="80"/>
        <w:rPr/>
      </w:pPr>
      <w:r>
        <w:rPr/>
      </w:r>
    </w:p>
    <w:p>
      <w:pPr>
        <w:pStyle w:val="Heading3"/>
        <w:spacing w:before="140" w:after="80"/>
        <w:rPr/>
      </w:pPr>
      <w:r>
        <w:rPr>
          <w:rFonts w:eastAsia="Arial" w:cs="Arial" w:ascii="Arial" w:hAnsi="Arial"/>
          <w:b/>
          <w:bCs/>
          <w:color w:val="854F0B"/>
          <w:sz w:val="22"/>
          <w:szCs w:val="22"/>
        </w:rPr>
        <w:t>Chatbot implementation steps</w:t>
      </w:r>
    </w:p>
    <w:p>
      <w:pPr>
        <w:pStyle w:val="ListParagraph"/>
        <w:numPr>
          <w:ilvl w:val="0"/>
          <w:numId w:val="3"/>
        </w:numPr>
        <w:spacing w:before="40" w:after="40"/>
        <w:rPr/>
      </w:pPr>
      <w:r>
        <w:rPr>
          <w:rFonts w:eastAsia="Arial" w:cs="Arial"/>
          <w:color w:val="1A1A1A"/>
          <w:sz w:val="22"/>
          <w:szCs w:val="22"/>
        </w:rPr>
        <w:t>Set up a vector database (Qdrant — open source, self-hosted) or use Elasticsearch's built-in dense vector search. Qdrant runs on the InterServer VPS with 512MB RAM.</w:t>
      </w:r>
    </w:p>
    <w:p>
      <w:pPr>
        <w:pStyle w:val="ListParagraph"/>
        <w:numPr>
          <w:ilvl w:val="0"/>
          <w:numId w:val="1"/>
        </w:numPr>
        <w:spacing w:before="40" w:after="40"/>
        <w:rPr/>
      </w:pPr>
      <w:r>
        <w:rPr>
          <w:rFonts w:eastAsia="Arial" w:cs="Arial"/>
          <w:color w:val="1A1A1A"/>
          <w:sz w:val="22"/>
          <w:szCs w:val="22"/>
        </w:rPr>
        <w:t>Build a document ingestion pipeline: every time a publication, profile, or news item is published in the CMS, a Next.js or Payload CMS webhook fires a Python script that: (1) fetches the content, (2) splits it into 500-token chunks, (3) generates embeddings using the sentence-transformers/all-MiniLM-L6-v2 model (free, self-hosted), and (4) stores the chunks and embeddings in Qdrant.</w:t>
      </w:r>
    </w:p>
    <w:p>
      <w:pPr>
        <w:pStyle w:val="ListParagraph"/>
        <w:numPr>
          <w:ilvl w:val="0"/>
          <w:numId w:val="1"/>
        </w:numPr>
        <w:spacing w:before="40" w:after="40"/>
        <w:rPr/>
      </w:pPr>
      <w:r>
        <w:rPr>
          <w:rFonts w:eastAsia="Arial" w:cs="Arial"/>
          <w:color w:val="1A1A1A"/>
          <w:sz w:val="22"/>
          <w:szCs w:val="22"/>
        </w:rPr>
        <w:t>Build the RAG query pipeline: user message → generate embedding → retrieve top-5 most similar chunks from Qdrant → inject chunks as context into the LLM system prompt → generate cited response → stream to the frontend widget.</w:t>
      </w:r>
    </w:p>
    <w:p>
      <w:pPr>
        <w:pStyle w:val="ListParagraph"/>
        <w:numPr>
          <w:ilvl w:val="0"/>
          <w:numId w:val="1"/>
        </w:numPr>
        <w:spacing w:before="40" w:after="40"/>
        <w:rPr/>
      </w:pPr>
      <w:r>
        <w:rPr>
          <w:rFonts w:eastAsia="Arial" w:cs="Arial"/>
          <w:color w:val="1A1A1A"/>
          <w:sz w:val="22"/>
          <w:szCs w:val="22"/>
        </w:rPr>
        <w:t>Build the chat widget in React (for the Next.js site) or Flutter (for the mobile app). Use Server-Sent Events (SSE) for streaming token-by-token response display — the same pattern used by ChatGPT's interface.</w:t>
      </w:r>
    </w:p>
    <w:p>
      <w:pPr>
        <w:pStyle w:val="ListParagraph"/>
        <w:numPr>
          <w:ilvl w:val="0"/>
          <w:numId w:val="1"/>
        </w:numPr>
        <w:spacing w:before="40" w:after="40"/>
        <w:rPr/>
      </w:pPr>
      <w:r>
        <w:rPr>
          <w:rFonts w:eastAsia="Arial" w:cs="Arial"/>
          <w:color w:val="1A1A1A"/>
          <w:sz w:val="22"/>
          <w:szCs w:val="22"/>
        </w:rPr>
        <w:t>Write the system prompt with strict domain boundaries, citation instructions, and the fallback response protocol. Test with 50 representative queries before launch.</w:t>
      </w:r>
    </w:p>
    <w:p>
      <w:pPr>
        <w:pStyle w:val="ListParagraph"/>
        <w:numPr>
          <w:ilvl w:val="0"/>
          <w:numId w:val="1"/>
        </w:numPr>
        <w:spacing w:before="40" w:after="40"/>
        <w:rPr/>
      </w:pPr>
      <w:r>
        <w:rPr>
          <w:rFonts w:eastAsia="Arial" w:cs="Arial"/>
          <w:color w:val="1A1A1A"/>
          <w:sz w:val="22"/>
          <w:szCs w:val="22"/>
        </w:rPr>
        <w:t>Deploy a monitoring dashboard (LangSmith free tier or a simple PostgreSQL log of query categories, response latency, and fallback rate) to track chatbot quality over time. Review monthly.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400"/>
        <w:gridCol w:w="7960"/>
      </w:tblGrid>
      <w:tr>
        <w:trPr/>
        <w:tc>
          <w:tcPr>
            <w:tcW w:w="14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Type</w:t>
            </w:r>
          </w:p>
        </w:tc>
        <w:tc>
          <w:tcPr>
            <w:tcW w:w="7960" w:type="dxa"/>
            <w:tcBorders>
              <w:top w:val="single" w:sz="2" w:space="0" w:color="3C3489"/>
              <w:start w:val="single" w:sz="2" w:space="0" w:color="3C3489"/>
              <w:bottom w:val="single" w:sz="2" w:space="0" w:color="3C3489"/>
              <w:end w:val="single" w:sz="2" w:space="0" w:color="3C3489"/>
            </w:tcBorders>
            <w:shd w:fill="3C3489" w:val="clear"/>
            <w:vAlign w:val="center"/>
          </w:tcPr>
          <w:p>
            <w:pPr>
              <w:pStyle w:val="Normal"/>
              <w:jc w:val="center"/>
              <w:rPr/>
            </w:pPr>
            <w:r>
              <w:rPr>
                <w:rFonts w:eastAsia="Arial" w:cs="Arial"/>
                <w:b/>
                <w:bCs/>
                <w:color w:val="FFFFFF"/>
                <w:sz w:val="20"/>
                <w:szCs w:val="20"/>
              </w:rPr>
              <w:t>Chatbot vs Traditional Search — Advantages and Disadvantages</w:t>
            </w:r>
          </w:p>
        </w:tc>
      </w:tr>
      <w:tr>
        <w:trPr/>
        <w:tc>
          <w:tcPr>
            <w:tcW w:w="1400" w:type="dxa"/>
            <w:tcBorders>
              <w:top w:val="single" w:sz="2" w:space="0" w:color="EAF3DE"/>
              <w:start w:val="single" w:sz="2" w:space="0" w:color="EAF3DE"/>
              <w:bottom w:val="single" w:sz="2" w:space="0" w:color="EAF3DE"/>
              <w:end w:val="single" w:sz="2" w:space="0" w:color="EAF3DE"/>
            </w:tcBorders>
            <w:shd w:fill="EAF3DE" w:val="clear"/>
            <w:tcMar>
              <w:start w:w="80" w:type="dxa"/>
              <w:end w:w="80" w:type="dxa"/>
            </w:tcMar>
            <w:vAlign w:val="center"/>
          </w:tcPr>
          <w:p>
            <w:pPr>
              <w:pStyle w:val="Normal"/>
              <w:jc w:val="center"/>
              <w:rPr/>
            </w:pPr>
            <w:r>
              <w:rPr>
                <w:rFonts w:eastAsia="Arial" w:cs="Arial"/>
                <w:b/>
                <w:bCs/>
                <w:color w:val="3B6D11"/>
                <w:sz w:val="18"/>
                <w:szCs w:val="18"/>
              </w:rPr>
              <w:t>Advantage</w:t>
            </w:r>
          </w:p>
        </w:tc>
        <w:tc>
          <w:tcPr>
            <w:tcW w:w="7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Conversational discovery — users can ask natural language questions rather than constructing keyword search queries. Critical for non-technical policymakers and journalists who don't know NISER's exact publication titles or author names.</w:t>
            </w:r>
          </w:p>
        </w:tc>
      </w:tr>
      <w:tr>
        <w:trPr/>
        <w:tc>
          <w:tcPr>
            <w:tcW w:w="1400" w:type="dxa"/>
            <w:tcBorders>
              <w:top w:val="single" w:sz="2" w:space="0" w:color="EAF3DE"/>
              <w:start w:val="single" w:sz="2" w:space="0" w:color="EAF3DE"/>
              <w:bottom w:val="single" w:sz="2" w:space="0" w:color="EAF3DE"/>
              <w:end w:val="single" w:sz="2" w:space="0" w:color="EAF3DE"/>
            </w:tcBorders>
            <w:shd w:fill="EAF3DE" w:val="clear"/>
            <w:tcMar>
              <w:start w:w="80" w:type="dxa"/>
              <w:end w:w="80" w:type="dxa"/>
            </w:tcMar>
            <w:vAlign w:val="center"/>
          </w:tcPr>
          <w:p>
            <w:pPr>
              <w:pStyle w:val="Normal"/>
              <w:jc w:val="center"/>
              <w:rPr/>
            </w:pPr>
            <w:r>
              <w:rPr>
                <w:rFonts w:eastAsia="Arial" w:cs="Arial"/>
                <w:b/>
                <w:bCs/>
                <w:color w:val="3B6D11"/>
                <w:sz w:val="18"/>
                <w:szCs w:val="18"/>
              </w:rPr>
              <w:t>Advantage</w:t>
            </w:r>
          </w:p>
        </w:tc>
        <w:tc>
          <w:tcPr>
            <w:tcW w:w="7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Multi-hop reasoning — the chatbot can answer compound questions like 'Compare NISER's findings on poverty reduction in the North vs South over the last 5 years' by synthesising across multiple publications in a single response.</w:t>
            </w:r>
          </w:p>
        </w:tc>
      </w:tr>
      <w:tr>
        <w:trPr/>
        <w:tc>
          <w:tcPr>
            <w:tcW w:w="1400" w:type="dxa"/>
            <w:tcBorders>
              <w:top w:val="single" w:sz="2" w:space="0" w:color="EAF3DE"/>
              <w:start w:val="single" w:sz="2" w:space="0" w:color="EAF3DE"/>
              <w:bottom w:val="single" w:sz="2" w:space="0" w:color="EAF3DE"/>
              <w:end w:val="single" w:sz="2" w:space="0" w:color="EAF3DE"/>
            </w:tcBorders>
            <w:shd w:fill="EAF3DE" w:val="clear"/>
            <w:tcMar>
              <w:start w:w="80" w:type="dxa"/>
              <w:end w:w="80" w:type="dxa"/>
            </w:tcMar>
            <w:vAlign w:val="center"/>
          </w:tcPr>
          <w:p>
            <w:pPr>
              <w:pStyle w:val="Normal"/>
              <w:jc w:val="center"/>
              <w:rPr/>
            </w:pPr>
            <w:r>
              <w:rPr>
                <w:rFonts w:eastAsia="Arial" w:cs="Arial"/>
                <w:b/>
                <w:bCs/>
                <w:color w:val="3B6D11"/>
                <w:sz w:val="18"/>
                <w:szCs w:val="18"/>
              </w:rPr>
              <w:t>Advantage</w:t>
            </w:r>
          </w:p>
        </w:tc>
        <w:tc>
          <w:tcPr>
            <w:tcW w:w="7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24/7 availability — NISER's research expertise is accessible at any time without requiring a researcher to respond to individual enquiries.</w:t>
            </w:r>
          </w:p>
        </w:tc>
      </w:tr>
      <w:tr>
        <w:trPr/>
        <w:tc>
          <w:tcPr>
            <w:tcW w:w="1400" w:type="dxa"/>
            <w:tcBorders>
              <w:top w:val="single" w:sz="2" w:space="0" w:color="FCEBEB"/>
              <w:start w:val="single" w:sz="2" w:space="0" w:color="FCEBEB"/>
              <w:bottom w:val="single" w:sz="2" w:space="0" w:color="FCEBEB"/>
              <w:end w:val="single" w:sz="2" w:space="0" w:color="FCEBEB"/>
            </w:tcBorders>
            <w:shd w:fill="FCEBEB" w:val="clear"/>
            <w:tcMar>
              <w:start w:w="80" w:type="dxa"/>
              <w:end w:w="80" w:type="dxa"/>
            </w:tcMar>
            <w:vAlign w:val="center"/>
          </w:tcPr>
          <w:p>
            <w:pPr>
              <w:pStyle w:val="Normal"/>
              <w:jc w:val="center"/>
              <w:rPr/>
            </w:pPr>
            <w:r>
              <w:rPr>
                <w:rFonts w:eastAsia="Arial" w:cs="Arial"/>
                <w:b/>
                <w:bCs/>
                <w:color w:val="A32D2D"/>
                <w:sz w:val="18"/>
                <w:szCs w:val="18"/>
              </w:rPr>
              <w:t>Disadvantage</w:t>
            </w:r>
          </w:p>
        </w:tc>
        <w:tc>
          <w:tcPr>
            <w:tcW w:w="796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Requires maintenance as knowledge base grows — the vector index must be kept current. Automated pipeline mitigates this but requires initial engineering investment.</w:t>
            </w:r>
          </w:p>
        </w:tc>
      </w:tr>
      <w:tr>
        <w:trPr/>
        <w:tc>
          <w:tcPr>
            <w:tcW w:w="1400" w:type="dxa"/>
            <w:tcBorders>
              <w:top w:val="single" w:sz="2" w:space="0" w:color="FCEBEB"/>
              <w:start w:val="single" w:sz="2" w:space="0" w:color="FCEBEB"/>
              <w:bottom w:val="single" w:sz="2" w:space="0" w:color="FCEBEB"/>
              <w:end w:val="single" w:sz="2" w:space="0" w:color="FCEBEB"/>
            </w:tcBorders>
            <w:shd w:fill="FCEBEB" w:val="clear"/>
            <w:tcMar>
              <w:start w:w="80" w:type="dxa"/>
              <w:end w:w="80" w:type="dxa"/>
            </w:tcMar>
            <w:vAlign w:val="center"/>
          </w:tcPr>
          <w:p>
            <w:pPr>
              <w:pStyle w:val="Normal"/>
              <w:jc w:val="center"/>
              <w:rPr/>
            </w:pPr>
            <w:r>
              <w:rPr>
                <w:rFonts w:eastAsia="Arial" w:cs="Arial"/>
                <w:b/>
                <w:bCs/>
                <w:color w:val="A32D2D"/>
                <w:sz w:val="18"/>
                <w:szCs w:val="18"/>
              </w:rPr>
              <w:t>Disadvantage</w:t>
            </w:r>
          </w:p>
        </w:tc>
        <w:tc>
          <w:tcPr>
            <w:tcW w:w="796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Potential for confident-sounding errors — even with RAG, LLMs can occasionally misrepresent source material. Human review of chatbot responses should be conducted monthly to catch systematic errors.</w:t>
            </w:r>
          </w:p>
        </w:tc>
      </w:tr>
    </w:tbl>
    <w:p>
      <w:pPr>
        <w:pStyle w:val="Normal"/>
        <w:spacing w:before="0" w:after="200"/>
        <w:rPr/>
      </w:pPr>
      <w:r>
        <w:rPr/>
      </w:r>
    </w:p>
    <w:p>
      <w:pPr>
        <w:pStyle w:val="Heading2"/>
        <w:spacing w:before="140" w:after="80"/>
        <w:rPr/>
      </w:pPr>
      <w:r>
        <w:rPr>
          <w:rFonts w:eastAsia="Arial" w:cs="Arial" w:ascii="Arial" w:hAnsi="Arial"/>
          <w:b/>
          <w:bCs/>
          <w:color w:val="854F0B"/>
          <w:sz w:val="22"/>
          <w:szCs w:val="22"/>
        </w:rPr>
        <w:t>Capability 2 — AI-Powered Semantic Publication Search</w:t>
      </w:r>
    </w:p>
    <w:p>
      <w:pPr>
        <w:pStyle w:val="Normal"/>
        <w:spacing w:before="0" w:after="80"/>
        <w:rPr/>
      </w:pPr>
      <w:r>
        <w:rPr>
          <w:rFonts w:eastAsia="Arial" w:cs="Arial"/>
          <w:b/>
          <w:bCs/>
          <w:color w:val="1A1A1A"/>
          <w:sz w:val="22"/>
          <w:szCs w:val="22"/>
        </w:rPr>
        <w:t xml:space="preserve">What it does: </w:t>
      </w:r>
      <w:r>
        <w:rPr>
          <w:rFonts w:eastAsia="Arial" w:cs="Arial"/>
          <w:color w:val="1A1A1A"/>
          <w:sz w:val="22"/>
          <w:szCs w:val="22"/>
        </w:rPr>
        <w:t>Upgrades the standard keyword search (Meilisearch/Elasticsearch) with semantic vector search — understanding the meaning of a query, not just its keywords. A user searching for 'food insecurity causes in northern Nigeria' will find publications about 'agricultural drought', 'pastoralist conflict', and 'fertiliser subsidy removal' even if those exact words were not in the search query.</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Aspect</w:t>
            </w:r>
          </w:p>
        </w:tc>
        <w:tc>
          <w:tcPr>
            <w:tcW w:w="71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Technology</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Hybrid search: keyword matching (BM25, via Elasticsearch or Meilisearch) + dense vector similarity search (via Qdrant or Elasticsearch's built-in kNN). Results are merged using Reciprocal Rank Fusion (RRF) for optimal relevance.</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Embedding model</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sentence-transformers/all-mpnet-base-v2 — a free, open-source model that produces 768-dimensional embeddings. Self-hosted. Average encoding time: 50ms per document on CPU. For NISER's expected corpus of under 5,000 publications, this is entirely adequate.</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User experience</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Search bar shows a 'Semantic search' badge indicating AI-powered results. A toggle allows users to switch between 'Keyword only' and 'AI-enhanced' results for comparison. Both modes return results in under 500ms.</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Re-ranking</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Optional: Cohere Rerank API (free tier: 1,000 requests/month) re-ranks the top-20 candidates from the vector search using a cross-encoder model for higher precision. At NISER's query volume, the free tier is sufficient indefinitely.</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Cost</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$0 — all components self-hosted. Cohere Rerank free tier covers expected query volume.</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Capability 3 — Automated Policy Brief Generator (Internal Tool)</w:t>
      </w:r>
    </w:p>
    <w:p>
      <w:pPr>
        <w:pStyle w:val="Normal"/>
        <w:spacing w:before="0" w:after="80"/>
        <w:rPr/>
      </w:pPr>
      <w:r>
        <w:rPr>
          <w:rFonts w:eastAsia="Arial" w:cs="Arial"/>
          <w:b/>
          <w:bCs/>
          <w:color w:val="1A1A1A"/>
          <w:sz w:val="22"/>
          <w:szCs w:val="22"/>
        </w:rPr>
        <w:t xml:space="preserve">What it does: </w:t>
      </w:r>
      <w:r>
        <w:rPr>
          <w:rFonts w:eastAsia="Arial" w:cs="Arial"/>
          <w:color w:val="1A1A1A"/>
          <w:sz w:val="22"/>
          <w:szCs w:val="22"/>
        </w:rPr>
        <w:t>An internal AI tool, accessible only to authenticated NISER researchers via the CMS admin panel, that generates a draft policy brief from a selected working paper or set of publications. The researcher selects 1–3 source documents, specifies the target audience (Federal Ministry, State Government, Development Partners, Media), and the AI produces a structured 2-page draft brief that the researcher then edits and approves before publication.</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Aspect</w:t>
            </w:r>
          </w:p>
        </w:tc>
        <w:tc>
          <w:tcPr>
            <w:tcW w:w="71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Model</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Claude 3.5 Sonnet API (Anthropic) — recommended for long-form structured document generation with precise instruction following. Alternatively: GPT-4o. Both available via REST API.</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Brief structure</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Introduction (100 words), Key Findings (200 words, bullet points), Policy Implications (200 words), Recommendations (150 words, numbered list), Data Sources (auto-generated from source documents). Total: ~650–750 words. Formatted as a Payload CMS draft entry, ready for editorial review.</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Prompt engineering</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The system prompt instructs the model to: use plain language (Grade 10 reading level), avoid academic jargon, cite specific NISER publications by title and year, focus on actionable recommendations for the specified audience, and flag any claims in the source documents that are ambiguous or require human verification.</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Human-in-the-loop</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The AI output is always a draft. It is saved to a 'Draft — AI generated' status in the CMS. A named researcher must review, edit, and explicitly approve before it moves to 'Ready for publication'. The published brief always shows the human author, not 'AI'.</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Cost</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At 10 policy briefs/month × ~8,000 tokens each: approximately $2.40/month at Claude 3.5 Sonnet pricing. Negligible.</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Audit log</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Every AI-generated brief records: which source documents were used, which model version was called, the timestamp, and which researcher approved it. This audit log is stored in the CMS and available to NISER's Director on request.</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Capability 4 — AI Literature Review Assistant (Internal Tool)</w:t>
      </w:r>
    </w:p>
    <w:p>
      <w:pPr>
        <w:pStyle w:val="Normal"/>
        <w:spacing w:before="0" w:after="80"/>
        <w:rPr/>
      </w:pPr>
      <w:r>
        <w:rPr>
          <w:rFonts w:eastAsia="Arial" w:cs="Arial"/>
          <w:b/>
          <w:bCs/>
          <w:color w:val="1A1A1A"/>
          <w:sz w:val="22"/>
          <w:szCs w:val="22"/>
        </w:rPr>
        <w:t xml:space="preserve">What it does: </w:t>
      </w:r>
      <w:r>
        <w:rPr>
          <w:rFonts w:eastAsia="Arial" w:cs="Arial"/>
          <w:color w:val="1A1A1A"/>
          <w:sz w:val="22"/>
          <w:szCs w:val="22"/>
        </w:rPr>
        <w:t>A researcher-facing tool that synthesises NISER's publication archive plus selected external sources (uploaded PDFs or URLs) into a structured literature review on a specified topic. The researcher provides a research question and the tool returns: a thematic summary of what NISER has published, identified gaps in the existing literature, key disagreements between sources, and suggested related external literature to consult.</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Aspect</w:t>
            </w:r>
          </w:p>
        </w:tc>
        <w:tc>
          <w:tcPr>
            <w:tcW w:w="71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Architecture</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RAG + long-context LLM. Researcher inputs a topic/question → system retrieves top-20 most relevant NISER publication chunks from Qdrant → researcher can upload up to 5 additional PDFs (processed via pypdf) → all context sent to Claude 3.5 Sonnet (200K context window) → structured review generated.</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Output format</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Markdown document exported to the CMS as a draft working note. Sections: Research Question, NISER Internal Literature Summary (with citations), External Literature Summary, Identified Gaps, Methodological Notes, Recommended Next Steps.</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Data privacy</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Uploaded external PDFs are processed in memory and not stored. No external document content is permanently retained. NISER's own content is already in the self-hosted Qdrant database — no new privacy exposure.</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Integration</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Available as a panel within the Payload CMS editor. Researcher opens a new 'Working Paper' entry, clicks 'AI Literature Review', enters the research question, uploads external sources, and receives the draft review as a formatted CMS block they can edit in place.</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Cost</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Estimated $20–50/month depending on usage frequency. 20 literature reviews/month at 50,000 tokens each ≈ $30/month at Claude 3.5 Sonnet API pricing.</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Capability 5 — Intelligent Content Recommendations</w:t>
      </w:r>
    </w:p>
    <w:p>
      <w:pPr>
        <w:pStyle w:val="Normal"/>
        <w:spacing w:before="0" w:after="80"/>
        <w:rPr/>
      </w:pPr>
      <w:r>
        <w:rPr>
          <w:rFonts w:eastAsia="Arial" w:cs="Arial"/>
          <w:b/>
          <w:bCs/>
          <w:color w:val="1A1A1A"/>
          <w:sz w:val="22"/>
          <w:szCs w:val="22"/>
        </w:rPr>
        <w:t xml:space="preserve">What it does: </w:t>
      </w:r>
      <w:r>
        <w:rPr>
          <w:rFonts w:eastAsia="Arial" w:cs="Arial"/>
          <w:color w:val="1A1A1A"/>
          <w:sz w:val="22"/>
          <w:szCs w:val="22"/>
        </w:rPr>
        <w:t>A recommendation engine that surfaces relevant NISER content to website and app users based on their current reading context — not personal tracking data. When reading a publication about agricultural finance, the system recommends related publications, the relevant researcher's profile, and upcoming events on the same topic.</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Aspect</w:t>
            </w:r>
          </w:p>
        </w:tc>
        <w:tc>
          <w:tcPr>
            <w:tcW w:w="71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Privacy approach</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Content-based filtering only — no user tracking, no cookies, no user profile stored. Recommendations are based entirely on the content currently being viewed, not on who is viewing it. Fully NDPR compliant by design.</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Algorithm</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At publication time, each document's embedding is computed and its top-10 nearest neighbours in the Qdrant vector space are pre-computed and stored as a 'related_content' field in the CMS. On page load, the Next.js/Flutter app fetches these pre-computed recommendations — zero runtime AI cost, zero latency.</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Recommendation surfaces</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'Related publications' carousel on each publication page (3 items), 'You may also find useful' on researcher profile pages (2 publications by the same researcher + 2 by similar researchers), 'Related events' on the homepage news feed, 'Continue exploring' section at the bottom of each NISER Perspectives post.</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Mobile app</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Flutter app displays recommendations as a horizontal scroll card carousel below each content item. Cards include title, publication type badge, and 'Save for offline' button.</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Cost</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$0 — all pre-computed at build/publish time using the existing Qdrant/embedding infrastructure from Capability 1.</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Capability 6 — Automated Policy Monitoring &amp; Research Alerts</w:t>
      </w:r>
    </w:p>
    <w:p>
      <w:pPr>
        <w:pStyle w:val="Normal"/>
        <w:spacing w:before="0" w:after="80"/>
        <w:rPr/>
      </w:pPr>
      <w:r>
        <w:rPr>
          <w:rFonts w:eastAsia="Arial" w:cs="Arial"/>
          <w:b/>
          <w:bCs/>
          <w:color w:val="1A1A1A"/>
          <w:sz w:val="22"/>
          <w:szCs w:val="22"/>
        </w:rPr>
        <w:t xml:space="preserve">What it does: </w:t>
      </w:r>
      <w:r>
        <w:rPr>
          <w:rFonts w:eastAsia="Arial" w:cs="Arial"/>
          <w:color w:val="1A1A1A"/>
          <w:sz w:val="22"/>
          <w:szCs w:val="22"/>
        </w:rPr>
        <w:t>An automated daily pipeline that monitors Nigerian policy news sources (CBN, NBS, Federal Ministry of Finance, National Assembly, IMF Nigeria, World Bank Nigeria), identifies developments relevant to NISER's research divisions, summarises them using an LLM, and delivers a structured daily briefing to designated NISER researchers by 07:00 WAT each morning — enabling NISER's rapid-response commentary capability.</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Aspect</w:t>
            </w:r>
          </w:p>
        </w:tc>
        <w:tc>
          <w:tcPr>
            <w:tcW w:w="71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Data sources monitored</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CBN press releases (RSS), NBS data releases (RSS), Federal Ministry of Finance publications, IMF Nigeria Article IV, World Bank Nigeria blog, National Assembly bills database, major Nigerian financial news (Businessday, Punch Business, The Cable — RSS only, no scraping of paywalled content).</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Pipeline</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Cron job at 05:00 WAT daily: (1) Fetch all RSS feeds, (2) Filter items published in the last 24 hours, (3) For each item, classify relevance to NISER research divisions using a zero-shot classification model (facebook/bart-large-mnli — self-hosted), (4) Summarise relevant items using Claude Haiku API (lowest cost), (5) Format into a structured daily brief by division, (6) Send via Brevo/MailerSend to division heads.</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Alert format</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Subject: 'NISER Policy Monitor — [Date] — [N] items across [divisions]'. Body: sections per division with item title, source, 2-sentence summary, relevance score, and a 'Write rapid response?' button that pre-populates the CMS Insights editor with the topic and a draft title.</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Urgency escalation</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If a high-impact event is detected (e.g., MPR rate change, CPI data release, budget presentation), an immediate push notification is sent to the mobile app in addition to the email — bypassing the daily schedule.</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Cost</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~$5–15/month. Claude Haiku at ~$0.25/million tokens; 50 summaries/day × 300 tokens = 15,000 tokens/day = ~$1.13/month. Classification model self-hosted: $0. RSS fetching: $0.</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Data privacy</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No user data is processed. All data is from public RSS feeds. Summaries are sent only to authenticated NISER email addresses. No third-party receives NISER's internal data.</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Capability 7 — AI Translation Layer (Yoruba, Hausa, Igbo)</w:t>
      </w:r>
    </w:p>
    <w:p>
      <w:pPr>
        <w:pStyle w:val="Normal"/>
        <w:spacing w:before="0" w:after="80"/>
        <w:rPr/>
      </w:pPr>
      <w:r>
        <w:rPr>
          <w:rFonts w:eastAsia="Arial" w:cs="Arial"/>
          <w:b/>
          <w:bCs/>
          <w:color w:val="1A1A1A"/>
          <w:sz w:val="22"/>
          <w:szCs w:val="22"/>
        </w:rPr>
        <w:t xml:space="preserve">What it does: </w:t>
      </w:r>
      <w:r>
        <w:rPr>
          <w:rFonts w:eastAsia="Arial" w:cs="Arial"/>
          <w:color w:val="1A1A1A"/>
          <w:sz w:val="22"/>
          <w:szCs w:val="22"/>
        </w:rPr>
        <w:t>An AI-powered translation layer that makes NISER's policy briefs, NISER Perspectives posts, and key homepage content available in Nigeria's three major languages — Yoruba, Hausa, and Igbo — using Meta's NLLB-200 (No Language Left Behind) open-source translation model, self-hosted on the InterServer VPS.</w:t>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Aspect</w:t>
            </w:r>
          </w:p>
        </w:tc>
        <w:tc>
          <w:tcPr>
            <w:tcW w:w="71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Detail</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Model</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NLLB-200-distilled-600M (Meta, open-source, Apache 2.0 licensed). Supports 200 languages including Yoruba (yor_Latn), Hausa (hau_Latn), and Igbo (ibo_Latn). Self-hosted — no API cost, no data sent to third parties. Runs on CPU (slower) or GPU (faster).</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Quality note</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NLLB quality for Nigerian languages is functional but imperfect, particularly for technical economic terminology. The recommended workflow: AI translation → human reviewer (one per language, can be a NISER associate or volunteer) → published translation. AI produces first draft in seconds; human reviewer spends 15–30 minutes on quality.</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Content scope</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Phase 4 launch: NISER Perspectives blog posts only (highest public value, shortest format). Phase 4 expansion: policy brief summaries (executive summary section only). Future: full publication abstracts.</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UI implementation</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Language selector in website header and mobile app settings (Ẹ̀dèYorùbá | Hausa | Igbo | English). Translated content stored as separate CMS entries linked to the English original. URL pattern: /yo/insights/[slug], /ha/insights/[slug], /ig/insights/[slug].</w:t>
            </w:r>
          </w:p>
        </w:tc>
      </w:tr>
      <w:tr>
        <w:trPr/>
        <w:tc>
          <w:tcPr>
            <w:tcW w:w="21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Cost</w:t>
            </w:r>
          </w:p>
        </w:tc>
        <w:tc>
          <w:tcPr>
            <w:tcW w:w="71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$0 for the model. GPU compute if needed: $10–20/month on Vast.ai for a shared GPU instance for translation jobs. On CPU, translation of a 600-word article takes approximately 30–60 seconds — acceptable for a background job.</w:t>
            </w:r>
          </w:p>
        </w:tc>
      </w:tr>
      <w:tr>
        <w:trPr/>
        <w:tc>
          <w:tcPr>
            <w:tcW w:w="21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Institutional significance</w:t>
            </w:r>
          </w:p>
        </w:tc>
        <w:tc>
          <w:tcPr>
            <w:tcW w:w="71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NISER is one of very few Nigerian research institutions whose research outputs would be accessible in indigenous Nigerian languages. This is a significant differentiator for NISER's public communication mandate and its relationship with state governments.</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AI Governance and Responsible Use Policy</w:t>
      </w:r>
    </w:p>
    <w:p>
      <w:pPr>
        <w:pStyle w:val="Normal"/>
        <w:spacing w:before="0" w:after="80"/>
        <w:rPr/>
      </w:pPr>
      <w:r>
        <w:rPr>
          <w:rFonts w:eastAsia="Arial" w:cs="Arial"/>
          <w:color w:val="1A1A1A"/>
          <w:sz w:val="22"/>
          <w:szCs w:val="22"/>
        </w:rPr>
        <w:t>All AI features at NISER are subject to the following governance principles. These must be documented in NISER's Content Governance Policy and reviewed annually by the Director and IT Unit Head.</w:t>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Principle</w:t>
            </w:r>
          </w:p>
        </w:tc>
        <w:tc>
          <w:tcPr>
            <w:tcW w:w="69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Implementation requirement</w:t>
            </w:r>
          </w:p>
        </w:tc>
      </w:tr>
      <w:tr>
        <w:trPr/>
        <w:tc>
          <w:tcPr>
            <w:tcW w:w="2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Human oversight mandatory</w:t>
            </w:r>
          </w:p>
        </w:tc>
        <w:tc>
          <w:tcPr>
            <w:tcW w:w="69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No AI-generated content may be published without explicit approval by a named NISER researcher or editor. AI tools produce drafts; humans produce publications.</w:t>
            </w:r>
          </w:p>
        </w:tc>
      </w:tr>
      <w:tr>
        <w:trPr/>
        <w:tc>
          <w:tcPr>
            <w:tcW w:w="2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Transparency to users</w:t>
            </w:r>
          </w:p>
        </w:tc>
        <w:tc>
          <w:tcPr>
            <w:tcW w:w="69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The NISER Research Chatbot must always identify itself as an AI assistant. All published content that used AI assistance in drafting must carry a disclosure: 'This brief was drafted with AI assistance and reviewed by [Researcher Name].'</w:t>
            </w:r>
          </w:p>
        </w:tc>
      </w:tr>
      <w:tr>
        <w:trPr/>
        <w:tc>
          <w:tcPr>
            <w:tcW w:w="2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Data minimisation</w:t>
            </w:r>
          </w:p>
        </w:tc>
        <w:tc>
          <w:tcPr>
            <w:tcW w:w="69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AI tools must not store, log, or transmit user query data unless the user has explicitly consented. Chat sessions are ephemeral. No personal data is used to train or fine-tune any model.</w:t>
            </w:r>
          </w:p>
        </w:tc>
      </w:tr>
      <w:tr>
        <w:trPr/>
        <w:tc>
          <w:tcPr>
            <w:tcW w:w="2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NDPR compliance review</w:t>
            </w:r>
          </w:p>
        </w:tc>
        <w:tc>
          <w:tcPr>
            <w:tcW w:w="69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Any AI capability that processes data from Nigerian residents (chatbot queries, newsletter signup interactions) must be reviewed by NISER's Data Protection Officer before deployment and documented in the NDPR compliance register.</w:t>
            </w:r>
          </w:p>
        </w:tc>
      </w:tr>
      <w:tr>
        <w:trPr/>
        <w:tc>
          <w:tcPr>
            <w:tcW w:w="2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Model versioning and audit</w:t>
            </w:r>
          </w:p>
        </w:tc>
        <w:tc>
          <w:tcPr>
            <w:tcW w:w="69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Every AI-generated content item in the CMS must record: model name, model version, date generated, and approving researcher. This audit log must be retained for 5 years.</w:t>
            </w:r>
          </w:p>
        </w:tc>
      </w:tr>
      <w:tr>
        <w:trPr/>
        <w:tc>
          <w:tcPr>
            <w:tcW w:w="2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Hallucination monitoring</w:t>
            </w:r>
          </w:p>
        </w:tc>
        <w:tc>
          <w:tcPr>
            <w:tcW w:w="69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The chatbot fallback rate (queries that couldn't be answered) and any reported errors must be reviewed monthly. A researcher must be designated as the AI Quality Officer responsible for this review.</w:t>
            </w:r>
          </w:p>
        </w:tc>
      </w:tr>
      <w:tr>
        <w:trPr/>
        <w:tc>
          <w:tcPr>
            <w:tcW w:w="23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b/>
                <w:bCs/>
                <w:color w:val="1A1A1A"/>
                <w:sz w:val="20"/>
                <w:szCs w:val="20"/>
              </w:rPr>
              <w:t>Vendor lock-in avoidance</w:t>
            </w:r>
          </w:p>
        </w:tc>
        <w:tc>
          <w:tcPr>
            <w:tcW w:w="69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Where possible, open-source self-hosted models (Llama 3, NLLB-200, sentence-transformers) are preferred over proprietary APIs. Where proprietary APIs are used (Claude, GPT-4o), the system must be designed to swap providers with a single configuration change.</w:t>
            </w:r>
          </w:p>
        </w:tc>
      </w:tr>
      <w:tr>
        <w:trPr/>
        <w:tc>
          <w:tcPr>
            <w:tcW w:w="23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b/>
                <w:bCs/>
                <w:color w:val="1A1A1A"/>
                <w:sz w:val="20"/>
                <w:szCs w:val="20"/>
              </w:rPr>
              <w:t>Annual AI ethics review</w:t>
            </w:r>
          </w:p>
        </w:tc>
        <w:tc>
          <w:tcPr>
            <w:tcW w:w="69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Each AI capability is reviewed annually for: unintended bias in outputs (particularly regarding regional or political balance in Nigerian economic content), accuracy degradation as NISER's content evolves, and changes in the regulatory landscape for AI in Nigeria.</w:t>
            </w:r>
          </w:p>
        </w:tc>
      </w:tr>
    </w:tbl>
    <w:p>
      <w:pPr>
        <w:pStyle w:val="Normal"/>
        <w:spacing w:before="0" w:after="160"/>
        <w:rPr/>
      </w:pPr>
      <w:r>
        <w:rPr/>
      </w:r>
    </w:p>
    <w:p>
      <w:pPr>
        <w:pStyle w:val="Heading2"/>
        <w:spacing w:before="140" w:after="80"/>
        <w:rPr/>
      </w:pPr>
      <w:r>
        <w:rPr>
          <w:rFonts w:eastAsia="Arial" w:cs="Arial" w:ascii="Arial" w:hAnsi="Arial"/>
          <w:b/>
          <w:bCs/>
          <w:color w:val="854F0B"/>
          <w:sz w:val="22"/>
          <w:szCs w:val="22"/>
        </w:rPr>
        <w:t>AI Integration Budget Summary</w:t>
      </w:r>
    </w:p>
    <w:tbl>
      <w:tblPr>
        <w:tblW w:w="9360" w:type="dxa"/>
        <w:jc w:val="start"/>
        <w:tblInd w:w="0" w:type="dxa"/>
        <w:tblLayout w:type="fixed"/>
        <w:tblCellMar>
          <w:top w:w="80" w:type="dxa"/>
          <w:start w:w="120" w:type="dxa"/>
          <w:bottom w:w="80" w:type="dxa"/>
          <w:end w:w="120" w:type="dxa"/>
        </w:tblCellMar>
      </w:tblPr>
      <w:tblGrid>
        <w:gridCol w:w="2799"/>
        <w:gridCol w:w="1281"/>
        <w:gridCol w:w="1279"/>
        <w:gridCol w:w="1280"/>
        <w:gridCol w:w="2721"/>
      </w:tblGrid>
      <w:tr>
        <w:trPr/>
        <w:tc>
          <w:tcPr>
            <w:tcW w:w="27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Capability</w:t>
            </w:r>
          </w:p>
        </w:tc>
        <w:tc>
          <w:tcPr>
            <w:tcW w:w="128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highlight w:val="none"/>
                <w:shd w:fill="FF4000" w:val="clear"/>
              </w:rPr>
            </w:pPr>
            <w:r>
              <w:rPr>
                <w:rFonts w:eastAsia="Arial" w:cs="Arial"/>
                <w:b/>
                <w:bCs/>
                <w:color w:val="FFFFFF"/>
                <w:sz w:val="20"/>
                <w:szCs w:val="20"/>
                <w:shd w:fill="FF4000" w:val="clear"/>
              </w:rPr>
              <w:t>Setup cost</w:t>
            </w:r>
          </w:p>
        </w:tc>
        <w:tc>
          <w:tcPr>
            <w:tcW w:w="1279" w:type="dxa"/>
            <w:tcBorders>
              <w:top w:val="single" w:sz="2" w:space="0" w:color="0F6E56"/>
              <w:start w:val="single" w:sz="2" w:space="0" w:color="0F6E56"/>
              <w:bottom w:val="single" w:sz="2" w:space="0" w:color="0F6E56"/>
              <w:end w:val="single" w:sz="2" w:space="0" w:color="0F6E56"/>
            </w:tcBorders>
            <w:shd w:fill="0F6E56" w:val="clear"/>
            <w:vAlign w:val="center"/>
          </w:tcPr>
          <w:p>
            <w:pPr>
              <w:pStyle w:val="Normal"/>
              <w:jc w:val="center"/>
              <w:rPr/>
            </w:pPr>
            <w:r>
              <w:rPr>
                <w:rFonts w:eastAsia="Arial" w:cs="Arial"/>
                <w:b/>
                <w:bCs/>
                <w:color w:val="FFFFFF"/>
                <w:sz w:val="20"/>
                <w:szCs w:val="20"/>
              </w:rPr>
              <w:t>Monthly (low)</w:t>
            </w:r>
          </w:p>
        </w:tc>
        <w:tc>
          <w:tcPr>
            <w:tcW w:w="1280" w:type="dxa"/>
            <w:tcBorders>
              <w:top w:val="single" w:sz="2" w:space="0" w:color="185FA5"/>
              <w:start w:val="single" w:sz="2" w:space="0" w:color="185FA5"/>
              <w:bottom w:val="single" w:sz="2" w:space="0" w:color="185FA5"/>
              <w:end w:val="single" w:sz="2" w:space="0" w:color="185FA5"/>
            </w:tcBorders>
            <w:shd w:fill="185FA5" w:val="clear"/>
            <w:vAlign w:val="center"/>
          </w:tcPr>
          <w:p>
            <w:pPr>
              <w:pStyle w:val="Normal"/>
              <w:jc w:val="center"/>
              <w:rPr/>
            </w:pPr>
            <w:r>
              <w:rPr>
                <w:rFonts w:eastAsia="Arial" w:cs="Arial"/>
                <w:b/>
                <w:bCs/>
                <w:color w:val="FFFFFF"/>
                <w:sz w:val="20"/>
                <w:szCs w:val="20"/>
              </w:rPr>
              <w:t>Monthly (high)</w:t>
            </w:r>
          </w:p>
        </w:tc>
        <w:tc>
          <w:tcPr>
            <w:tcW w:w="272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Notes</w:t>
            </w:r>
          </w:p>
        </w:tc>
      </w:tr>
      <w:tr>
        <w:trPr/>
        <w:tc>
          <w:tcPr>
            <w:tcW w:w="27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1. Research Chatbot</w:t>
            </w:r>
          </w:p>
        </w:tc>
        <w:tc>
          <w:tcPr>
            <w:tcW w:w="1281"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color w:val="1A1A1A"/>
                <w:sz w:val="19"/>
                <w:szCs w:val="19"/>
              </w:rPr>
              <w:t>$500–1,000</w:t>
            </w:r>
          </w:p>
        </w:tc>
        <w:tc>
          <w:tcPr>
            <w:tcW w:w="1279" w:type="dxa"/>
            <w:tcBorders>
              <w:top w:val="single" w:sz="2" w:space="0" w:color="D3D1C7"/>
              <w:start w:val="single" w:sz="2" w:space="0" w:color="D3D1C7"/>
              <w:bottom w:val="single" w:sz="2" w:space="0" w:color="D3D1C7"/>
              <w:end w:val="single" w:sz="2" w:space="0" w:color="D3D1C7"/>
            </w:tcBorders>
            <w:shd w:fill="D7F0E8" w:val="clear"/>
          </w:tcPr>
          <w:p>
            <w:pPr>
              <w:pStyle w:val="Normal"/>
              <w:jc w:val="center"/>
              <w:rPr/>
            </w:pPr>
            <w:r>
              <w:rPr>
                <w:rFonts w:eastAsia="Arial" w:cs="Arial"/>
                <w:b/>
                <w:bCs/>
                <w:color w:val="0F6E56"/>
                <w:sz w:val="20"/>
                <w:szCs w:val="20"/>
              </w:rPr>
              <w:t>$0</w:t>
            </w:r>
          </w:p>
        </w:tc>
        <w:tc>
          <w:tcPr>
            <w:tcW w:w="128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b/>
                <w:bCs/>
                <w:color w:val="185FA5"/>
                <w:sz w:val="20"/>
                <w:szCs w:val="20"/>
              </w:rPr>
              <w:t>$40</w:t>
            </w:r>
          </w:p>
        </w:tc>
        <w:tc>
          <w:tcPr>
            <w:tcW w:w="272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Self-hosted: $0/mo; Claude API: ~$20–40/mo</w:t>
            </w:r>
          </w:p>
        </w:tc>
      </w:tr>
      <w:tr>
        <w:trPr/>
        <w:tc>
          <w:tcPr>
            <w:tcW w:w="27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2. Semantic Search</w:t>
            </w:r>
          </w:p>
        </w:tc>
        <w:tc>
          <w:tcPr>
            <w:tcW w:w="1281"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color w:val="1A1A1A"/>
                <w:sz w:val="19"/>
                <w:szCs w:val="19"/>
              </w:rPr>
              <w:t>$200–400</w:t>
            </w:r>
          </w:p>
        </w:tc>
        <w:tc>
          <w:tcPr>
            <w:tcW w:w="1279" w:type="dxa"/>
            <w:tcBorders>
              <w:top w:val="single" w:sz="2" w:space="0" w:color="D3D1C7"/>
              <w:start w:val="single" w:sz="2" w:space="0" w:color="D3D1C7"/>
              <w:bottom w:val="single" w:sz="2" w:space="0" w:color="D3D1C7"/>
              <w:end w:val="single" w:sz="2" w:space="0" w:color="D3D1C7"/>
            </w:tcBorders>
            <w:shd w:fill="D7F0E8" w:val="clear"/>
          </w:tcPr>
          <w:p>
            <w:pPr>
              <w:pStyle w:val="Normal"/>
              <w:jc w:val="center"/>
              <w:rPr/>
            </w:pPr>
            <w:r>
              <w:rPr>
                <w:rFonts w:eastAsia="Arial" w:cs="Arial"/>
                <w:b/>
                <w:bCs/>
                <w:color w:val="0F6E56"/>
                <w:sz w:val="20"/>
                <w:szCs w:val="20"/>
              </w:rPr>
              <w:t>$0</w:t>
            </w:r>
          </w:p>
        </w:tc>
        <w:tc>
          <w:tcPr>
            <w:tcW w:w="128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b/>
                <w:bCs/>
                <w:color w:val="185FA5"/>
                <w:sz w:val="20"/>
                <w:szCs w:val="20"/>
              </w:rPr>
              <w:t>$0</w:t>
            </w:r>
          </w:p>
        </w:tc>
        <w:tc>
          <w:tcPr>
            <w:tcW w:w="272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All self-hosted; Cohere free tier for reranking</w:t>
            </w:r>
          </w:p>
        </w:tc>
      </w:tr>
      <w:tr>
        <w:trPr/>
        <w:tc>
          <w:tcPr>
            <w:tcW w:w="27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3. Policy Brief Generator</w:t>
            </w:r>
          </w:p>
        </w:tc>
        <w:tc>
          <w:tcPr>
            <w:tcW w:w="1281"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color w:val="1A1A1A"/>
                <w:sz w:val="19"/>
                <w:szCs w:val="19"/>
              </w:rPr>
              <w:t>$200–300</w:t>
            </w:r>
          </w:p>
        </w:tc>
        <w:tc>
          <w:tcPr>
            <w:tcW w:w="1279" w:type="dxa"/>
            <w:tcBorders>
              <w:top w:val="single" w:sz="2" w:space="0" w:color="D3D1C7"/>
              <w:start w:val="single" w:sz="2" w:space="0" w:color="D3D1C7"/>
              <w:bottom w:val="single" w:sz="2" w:space="0" w:color="D3D1C7"/>
              <w:end w:val="single" w:sz="2" w:space="0" w:color="D3D1C7"/>
            </w:tcBorders>
            <w:shd w:fill="D7F0E8" w:val="clear"/>
          </w:tcPr>
          <w:p>
            <w:pPr>
              <w:pStyle w:val="Normal"/>
              <w:jc w:val="center"/>
              <w:rPr/>
            </w:pPr>
            <w:r>
              <w:rPr>
                <w:rFonts w:eastAsia="Arial" w:cs="Arial"/>
                <w:b/>
                <w:bCs/>
                <w:color w:val="0D2E5A"/>
                <w:sz w:val="20"/>
                <w:szCs w:val="20"/>
              </w:rPr>
              <w:t>$2</w:t>
            </w:r>
          </w:p>
        </w:tc>
        <w:tc>
          <w:tcPr>
            <w:tcW w:w="128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b/>
                <w:bCs/>
                <w:color w:val="185FA5"/>
                <w:sz w:val="20"/>
                <w:szCs w:val="20"/>
              </w:rPr>
              <w:t>$15</w:t>
            </w:r>
          </w:p>
        </w:tc>
        <w:tc>
          <w:tcPr>
            <w:tcW w:w="272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Claude Haiku API; very low token volume</w:t>
            </w:r>
          </w:p>
        </w:tc>
      </w:tr>
      <w:tr>
        <w:trPr/>
        <w:tc>
          <w:tcPr>
            <w:tcW w:w="27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4. Literature Review Assistant</w:t>
            </w:r>
          </w:p>
        </w:tc>
        <w:tc>
          <w:tcPr>
            <w:tcW w:w="1281"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color w:val="1A1A1A"/>
                <w:sz w:val="19"/>
                <w:szCs w:val="19"/>
              </w:rPr>
              <w:t>$300–500</w:t>
            </w:r>
          </w:p>
        </w:tc>
        <w:tc>
          <w:tcPr>
            <w:tcW w:w="1279" w:type="dxa"/>
            <w:tcBorders>
              <w:top w:val="single" w:sz="2" w:space="0" w:color="D3D1C7"/>
              <w:start w:val="single" w:sz="2" w:space="0" w:color="D3D1C7"/>
              <w:bottom w:val="single" w:sz="2" w:space="0" w:color="D3D1C7"/>
              <w:end w:val="single" w:sz="2" w:space="0" w:color="D3D1C7"/>
            </w:tcBorders>
            <w:shd w:fill="D7F0E8" w:val="clear"/>
          </w:tcPr>
          <w:p>
            <w:pPr>
              <w:pStyle w:val="Normal"/>
              <w:jc w:val="center"/>
              <w:rPr/>
            </w:pPr>
            <w:r>
              <w:rPr>
                <w:rFonts w:eastAsia="Arial" w:cs="Arial"/>
                <w:b/>
                <w:bCs/>
                <w:color w:val="0D2E5A"/>
                <w:sz w:val="20"/>
                <w:szCs w:val="20"/>
              </w:rPr>
              <w:t>$10</w:t>
            </w:r>
          </w:p>
        </w:tc>
        <w:tc>
          <w:tcPr>
            <w:tcW w:w="128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b/>
                <w:bCs/>
                <w:color w:val="185FA5"/>
                <w:sz w:val="20"/>
                <w:szCs w:val="20"/>
              </w:rPr>
              <w:t>$50</w:t>
            </w:r>
          </w:p>
        </w:tc>
        <w:tc>
          <w:tcPr>
            <w:tcW w:w="272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Claude Sonnet API; researcher-initiated only</w:t>
            </w:r>
          </w:p>
        </w:tc>
      </w:tr>
      <w:tr>
        <w:trPr/>
        <w:tc>
          <w:tcPr>
            <w:tcW w:w="27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5. Content Recommendations</w:t>
            </w:r>
          </w:p>
        </w:tc>
        <w:tc>
          <w:tcPr>
            <w:tcW w:w="1281"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color w:val="1A1A1A"/>
                <w:sz w:val="19"/>
                <w:szCs w:val="19"/>
              </w:rPr>
              <w:t>$0</w:t>
            </w:r>
          </w:p>
        </w:tc>
        <w:tc>
          <w:tcPr>
            <w:tcW w:w="1279" w:type="dxa"/>
            <w:tcBorders>
              <w:top w:val="single" w:sz="2" w:space="0" w:color="D3D1C7"/>
              <w:start w:val="single" w:sz="2" w:space="0" w:color="D3D1C7"/>
              <w:bottom w:val="single" w:sz="2" w:space="0" w:color="D3D1C7"/>
              <w:end w:val="single" w:sz="2" w:space="0" w:color="D3D1C7"/>
            </w:tcBorders>
            <w:shd w:fill="D7F0E8" w:val="clear"/>
          </w:tcPr>
          <w:p>
            <w:pPr>
              <w:pStyle w:val="Normal"/>
              <w:jc w:val="center"/>
              <w:rPr/>
            </w:pPr>
            <w:r>
              <w:rPr>
                <w:rFonts w:eastAsia="Arial" w:cs="Arial"/>
                <w:b/>
                <w:bCs/>
                <w:color w:val="0F6E56"/>
                <w:sz w:val="20"/>
                <w:szCs w:val="20"/>
              </w:rPr>
              <w:t>$0</w:t>
            </w:r>
          </w:p>
        </w:tc>
        <w:tc>
          <w:tcPr>
            <w:tcW w:w="128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b/>
                <w:bCs/>
                <w:color w:val="185FA5"/>
                <w:sz w:val="20"/>
                <w:szCs w:val="20"/>
              </w:rPr>
              <w:t>$0</w:t>
            </w:r>
          </w:p>
        </w:tc>
        <w:tc>
          <w:tcPr>
            <w:tcW w:w="272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Pre-computed; no runtime cost</w:t>
            </w:r>
          </w:p>
        </w:tc>
      </w:tr>
      <w:tr>
        <w:trPr/>
        <w:tc>
          <w:tcPr>
            <w:tcW w:w="2799"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6. Policy Monitor &amp; Alerts</w:t>
            </w:r>
          </w:p>
        </w:tc>
        <w:tc>
          <w:tcPr>
            <w:tcW w:w="1281" w:type="dxa"/>
            <w:tcBorders>
              <w:top w:val="single" w:sz="2" w:space="0" w:color="D3D1C7"/>
              <w:start w:val="single" w:sz="2" w:space="0" w:color="D3D1C7"/>
              <w:bottom w:val="single" w:sz="2" w:space="0" w:color="D3D1C7"/>
              <w:end w:val="single" w:sz="2" w:space="0" w:color="D3D1C7"/>
            </w:tcBorders>
            <w:shd w:fill="FFFFFF" w:val="clear"/>
          </w:tcPr>
          <w:p>
            <w:pPr>
              <w:pStyle w:val="Normal"/>
              <w:jc w:val="center"/>
              <w:rPr/>
            </w:pPr>
            <w:r>
              <w:rPr>
                <w:rFonts w:eastAsia="Arial" w:cs="Arial"/>
                <w:color w:val="1A1A1A"/>
                <w:sz w:val="19"/>
                <w:szCs w:val="19"/>
              </w:rPr>
              <w:t>$200–400</w:t>
            </w:r>
          </w:p>
        </w:tc>
        <w:tc>
          <w:tcPr>
            <w:tcW w:w="1279" w:type="dxa"/>
            <w:tcBorders>
              <w:top w:val="single" w:sz="2" w:space="0" w:color="D3D1C7"/>
              <w:start w:val="single" w:sz="2" w:space="0" w:color="D3D1C7"/>
              <w:bottom w:val="single" w:sz="2" w:space="0" w:color="D3D1C7"/>
              <w:end w:val="single" w:sz="2" w:space="0" w:color="D3D1C7"/>
            </w:tcBorders>
            <w:shd w:fill="D7F0E8" w:val="clear"/>
          </w:tcPr>
          <w:p>
            <w:pPr>
              <w:pStyle w:val="Normal"/>
              <w:jc w:val="center"/>
              <w:rPr/>
            </w:pPr>
            <w:r>
              <w:rPr>
                <w:rFonts w:eastAsia="Arial" w:cs="Arial"/>
                <w:b/>
                <w:bCs/>
                <w:color w:val="0D2E5A"/>
                <w:sz w:val="20"/>
                <w:szCs w:val="20"/>
              </w:rPr>
              <w:t>$5</w:t>
            </w:r>
          </w:p>
        </w:tc>
        <w:tc>
          <w:tcPr>
            <w:tcW w:w="128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b/>
                <w:bCs/>
                <w:color w:val="185FA5"/>
                <w:sz w:val="20"/>
                <w:szCs w:val="20"/>
              </w:rPr>
              <w:t>$20</w:t>
            </w:r>
          </w:p>
        </w:tc>
        <w:tc>
          <w:tcPr>
            <w:tcW w:w="272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5F5E5A"/>
                <w:sz w:val="20"/>
                <w:szCs w:val="20"/>
              </w:rPr>
              <w:t>Claude Haiku API; RSS pipeline on VPS</w:t>
            </w:r>
          </w:p>
        </w:tc>
      </w:tr>
      <w:tr>
        <w:trPr/>
        <w:tc>
          <w:tcPr>
            <w:tcW w:w="2799"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7. AI Translation Layer</w:t>
            </w:r>
          </w:p>
        </w:tc>
        <w:tc>
          <w:tcPr>
            <w:tcW w:w="1281" w:type="dxa"/>
            <w:tcBorders>
              <w:top w:val="single" w:sz="2" w:space="0" w:color="D3D1C7"/>
              <w:start w:val="single" w:sz="2" w:space="0" w:color="D3D1C7"/>
              <w:bottom w:val="single" w:sz="2" w:space="0" w:color="D3D1C7"/>
              <w:end w:val="single" w:sz="2" w:space="0" w:color="D3D1C7"/>
            </w:tcBorders>
            <w:shd w:fill="F1EFE8" w:val="clear"/>
          </w:tcPr>
          <w:p>
            <w:pPr>
              <w:pStyle w:val="Normal"/>
              <w:jc w:val="center"/>
              <w:rPr/>
            </w:pPr>
            <w:r>
              <w:rPr>
                <w:rFonts w:eastAsia="Arial" w:cs="Arial"/>
                <w:color w:val="1A1A1A"/>
                <w:sz w:val="19"/>
                <w:szCs w:val="19"/>
              </w:rPr>
              <w:t>$200–400</w:t>
            </w:r>
          </w:p>
        </w:tc>
        <w:tc>
          <w:tcPr>
            <w:tcW w:w="1279" w:type="dxa"/>
            <w:tcBorders>
              <w:top w:val="single" w:sz="2" w:space="0" w:color="D3D1C7"/>
              <w:start w:val="single" w:sz="2" w:space="0" w:color="D3D1C7"/>
              <w:bottom w:val="single" w:sz="2" w:space="0" w:color="D3D1C7"/>
              <w:end w:val="single" w:sz="2" w:space="0" w:color="D3D1C7"/>
            </w:tcBorders>
            <w:shd w:fill="D7F0E8" w:val="clear"/>
          </w:tcPr>
          <w:p>
            <w:pPr>
              <w:pStyle w:val="Normal"/>
              <w:jc w:val="center"/>
              <w:rPr/>
            </w:pPr>
            <w:r>
              <w:rPr>
                <w:rFonts w:eastAsia="Arial" w:cs="Arial"/>
                <w:b/>
                <w:bCs/>
                <w:color w:val="0F6E56"/>
                <w:sz w:val="20"/>
                <w:szCs w:val="20"/>
              </w:rPr>
              <w:t>$0</w:t>
            </w:r>
          </w:p>
        </w:tc>
        <w:tc>
          <w:tcPr>
            <w:tcW w:w="128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b/>
                <w:bCs/>
                <w:color w:val="185FA5"/>
                <w:sz w:val="20"/>
                <w:szCs w:val="20"/>
              </w:rPr>
              <w:t>$20</w:t>
            </w:r>
          </w:p>
        </w:tc>
        <w:tc>
          <w:tcPr>
            <w:tcW w:w="272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5F5E5A"/>
                <w:sz w:val="20"/>
                <w:szCs w:val="20"/>
              </w:rPr>
              <w:t>Self-hosted NLLB; optional GPU instance</w:t>
            </w:r>
          </w:p>
        </w:tc>
      </w:tr>
      <w:tr>
        <w:trPr/>
        <w:tc>
          <w:tcPr>
            <w:tcW w:w="2799" w:type="dxa"/>
            <w:tcBorders>
              <w:top w:val="single" w:sz="2" w:space="0" w:color="D3D1C7"/>
              <w:start w:val="single" w:sz="2" w:space="0" w:color="D3D1C7"/>
              <w:bottom w:val="single" w:sz="2" w:space="0" w:color="D3D1C7"/>
              <w:end w:val="single" w:sz="2" w:space="0" w:color="D3D1C7"/>
            </w:tcBorders>
            <w:shd w:fill="EEEDFE" w:val="clear"/>
          </w:tcPr>
          <w:p>
            <w:pPr>
              <w:pStyle w:val="Normal"/>
              <w:rPr/>
            </w:pPr>
            <w:r>
              <w:rPr>
                <w:rFonts w:eastAsia="Arial" w:cs="Arial"/>
                <w:b/>
                <w:bCs/>
                <w:color w:val="1A1A1A"/>
                <w:sz w:val="22"/>
                <w:szCs w:val="22"/>
              </w:rPr>
              <w:t>Total AI integration</w:t>
            </w:r>
          </w:p>
        </w:tc>
        <w:tc>
          <w:tcPr>
            <w:tcW w:w="1281" w:type="dxa"/>
            <w:tcBorders>
              <w:top w:val="single" w:sz="2" w:space="0" w:color="D3D1C7"/>
              <w:start w:val="single" w:sz="2" w:space="0" w:color="D3D1C7"/>
              <w:bottom w:val="single" w:sz="2" w:space="0" w:color="D3D1C7"/>
              <w:end w:val="single" w:sz="2" w:space="0" w:color="D3D1C7"/>
            </w:tcBorders>
            <w:shd w:fill="EEEDFE" w:val="clear"/>
          </w:tcPr>
          <w:p>
            <w:pPr>
              <w:pStyle w:val="Normal"/>
              <w:jc w:val="center"/>
              <w:rPr/>
            </w:pPr>
            <w:r>
              <w:rPr>
                <w:rFonts w:eastAsia="Arial" w:cs="Arial"/>
                <w:color w:val="1A1A1A"/>
                <w:sz w:val="19"/>
                <w:szCs w:val="19"/>
              </w:rPr>
              <w:t>$1,600–3,000</w:t>
            </w:r>
          </w:p>
        </w:tc>
        <w:tc>
          <w:tcPr>
            <w:tcW w:w="1279" w:type="dxa"/>
            <w:tcBorders>
              <w:top w:val="single" w:sz="2" w:space="0" w:color="D3D1C7"/>
              <w:start w:val="single" w:sz="2" w:space="0" w:color="D3D1C7"/>
              <w:bottom w:val="single" w:sz="2" w:space="0" w:color="D3D1C7"/>
              <w:end w:val="single" w:sz="2" w:space="0" w:color="D3D1C7"/>
            </w:tcBorders>
            <w:shd w:fill="EAF3DE" w:val="clear"/>
          </w:tcPr>
          <w:p>
            <w:pPr>
              <w:pStyle w:val="Normal"/>
              <w:jc w:val="center"/>
              <w:rPr/>
            </w:pPr>
            <w:r>
              <w:rPr>
                <w:rFonts w:eastAsia="Arial" w:cs="Arial"/>
                <w:b/>
                <w:bCs/>
                <w:color w:val="0D2E5A"/>
                <w:sz w:val="20"/>
                <w:szCs w:val="20"/>
              </w:rPr>
              <w:t>$17</w:t>
            </w:r>
          </w:p>
        </w:tc>
        <w:tc>
          <w:tcPr>
            <w:tcW w:w="1280" w:type="dxa"/>
            <w:tcBorders>
              <w:top w:val="single" w:sz="2" w:space="0" w:color="D3D1C7"/>
              <w:start w:val="single" w:sz="2" w:space="0" w:color="D3D1C7"/>
              <w:bottom w:val="single" w:sz="2" w:space="0" w:color="D3D1C7"/>
              <w:end w:val="single" w:sz="2" w:space="0" w:color="D3D1C7"/>
            </w:tcBorders>
            <w:shd w:fill="D6E8F7" w:val="clear"/>
          </w:tcPr>
          <w:p>
            <w:pPr>
              <w:pStyle w:val="Normal"/>
              <w:jc w:val="center"/>
              <w:rPr/>
            </w:pPr>
            <w:r>
              <w:rPr>
                <w:rFonts w:eastAsia="Arial" w:cs="Arial"/>
                <w:b/>
                <w:bCs/>
                <w:color w:val="185FA5"/>
                <w:sz w:val="20"/>
                <w:szCs w:val="20"/>
              </w:rPr>
              <w:t>$145</w:t>
            </w:r>
          </w:p>
        </w:tc>
        <w:tc>
          <w:tcPr>
            <w:tcW w:w="2721" w:type="dxa"/>
            <w:tcBorders>
              <w:top w:val="single" w:sz="2" w:space="0" w:color="D3D1C7"/>
              <w:start w:val="single" w:sz="2" w:space="0" w:color="D3D1C7"/>
              <w:bottom w:val="single" w:sz="2" w:space="0" w:color="D3D1C7"/>
              <w:end w:val="single" w:sz="2" w:space="0" w:color="D3D1C7"/>
            </w:tcBorders>
            <w:shd w:fill="EEEDFE" w:val="clear"/>
          </w:tcPr>
          <w:p>
            <w:pPr>
              <w:pStyle w:val="Normal"/>
              <w:rPr/>
            </w:pPr>
            <w:r>
              <w:rPr>
                <w:rFonts w:eastAsia="Arial" w:cs="Arial"/>
                <w:color w:val="5F5E5A"/>
                <w:sz w:val="20"/>
                <w:szCs w:val="20"/>
              </w:rPr>
              <w:t>Conservative monthly average: ~$60–80/mo</w:t>
            </w:r>
          </w:p>
        </w:tc>
      </w:tr>
    </w:tbl>
    <w:p>
      <w:pPr>
        <w:pStyle w:val="Normal"/>
        <w:spacing w:before="0" w:after="80"/>
        <w:rPr/>
      </w:pPr>
      <w:r>
        <w:rPr/>
      </w:r>
    </w:p>
    <w:p>
      <w:pPr>
        <w:pStyle w:val="Normal"/>
        <w:spacing w:before="0" w:after="120"/>
        <w:rPr/>
      </w:pPr>
      <w:r>
        <w:rPr>
          <w:rFonts w:eastAsia="Arial" w:cs="Arial"/>
          <w:b/>
          <w:bCs/>
          <w:color w:val="1A1A1A"/>
          <w:sz w:val="22"/>
          <w:szCs w:val="22"/>
        </w:rPr>
        <w:t xml:space="preserve">Total AI budget in context: </w:t>
      </w:r>
      <w:r>
        <w:rPr>
          <w:rFonts w:eastAsia="Arial" w:cs="Arial"/>
          <w:color w:val="1A1A1A"/>
          <w:sz w:val="22"/>
          <w:szCs w:val="22"/>
        </w:rPr>
        <w:t>The complete AI integration programme adds $1,600–3,000 to the one-time implementation cost and $17–145/month to ongoing costs — averaging approximately $60–80/month at realistic usage levels. For a federal research institution with NISER's mandate and budget, this is a transformative capability investment at a negligible operational cost.</w:t>
      </w:r>
    </w:p>
    <w:p>
      <w:pPr>
        <w:pStyle w:val="Heading2"/>
        <w:spacing w:before="140" w:after="80"/>
        <w:rPr/>
      </w:pPr>
      <w:r>
        <w:rPr>
          <w:rFonts w:eastAsia="Arial" w:cs="Arial" w:ascii="Arial" w:hAnsi="Arial"/>
          <w:b/>
          <w:bCs/>
          <w:color w:val="854F0B"/>
          <w:sz w:val="22"/>
          <w:szCs w:val="22"/>
        </w:rPr>
        <w:t>AI Integration Phased Timeline</w:t>
      </w:r>
    </w:p>
    <w:tbl>
      <w:tblPr>
        <w:tblW w:w="9360" w:type="dxa"/>
        <w:jc w:val="start"/>
        <w:tblInd w:w="0" w:type="dxa"/>
        <w:tblLayout w:type="fixed"/>
        <w:tblCellMar>
          <w:top w:w="80" w:type="dxa"/>
          <w:start w:w="120" w:type="dxa"/>
          <w:bottom w:w="80" w:type="dxa"/>
          <w:end w:w="120" w:type="dxa"/>
        </w:tblCellMar>
      </w:tblPr>
      <w:tblGrid>
        <w:gridCol w:w="1599"/>
        <w:gridCol w:w="2000"/>
        <w:gridCol w:w="2400"/>
        <w:gridCol w:w="3361"/>
      </w:tblGrid>
      <w:tr>
        <w:trPr/>
        <w:tc>
          <w:tcPr>
            <w:tcW w:w="1599"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Phase</w:t>
            </w:r>
          </w:p>
        </w:tc>
        <w:tc>
          <w:tcPr>
            <w:tcW w:w="20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Timeline</w:t>
            </w:r>
          </w:p>
        </w:tc>
        <w:tc>
          <w:tcPr>
            <w:tcW w:w="2400"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AI capabilities deployed</w:t>
            </w:r>
          </w:p>
        </w:tc>
        <w:tc>
          <w:tcPr>
            <w:tcW w:w="3361" w:type="dxa"/>
            <w:tcBorders>
              <w:top w:val="single" w:sz="2" w:space="0" w:color="0D2E5A"/>
              <w:start w:val="single" w:sz="2" w:space="0" w:color="0D2E5A"/>
              <w:bottom w:val="single" w:sz="2" w:space="0" w:color="0D2E5A"/>
              <w:end w:val="single" w:sz="2" w:space="0" w:color="0D2E5A"/>
            </w:tcBorders>
            <w:shd w:fill="0D2E5A" w:val="clear"/>
            <w:vAlign w:val="center"/>
          </w:tcPr>
          <w:p>
            <w:pPr>
              <w:pStyle w:val="Normal"/>
              <w:jc w:val="center"/>
              <w:rPr/>
            </w:pPr>
            <w:r>
              <w:rPr>
                <w:rFonts w:eastAsia="Arial" w:cs="Arial"/>
                <w:b/>
                <w:bCs/>
                <w:color w:val="FFFFFF"/>
                <w:sz w:val="20"/>
                <w:szCs w:val="20"/>
              </w:rPr>
              <w:t>Acceptance criterion</w:t>
            </w:r>
          </w:p>
        </w:tc>
      </w:tr>
      <w:tr>
        <w:trPr/>
        <w:tc>
          <w:tcPr>
            <w:tcW w:w="1599" w:type="dxa"/>
            <w:tcBorders>
              <w:top w:val="single" w:sz="2" w:space="0" w:color="EAF3DE"/>
              <w:start w:val="single" w:sz="2" w:space="0" w:color="EAF3DE"/>
              <w:bottom w:val="single" w:sz="2" w:space="0" w:color="EAF3DE"/>
              <w:end w:val="single" w:sz="2" w:space="0" w:color="EAF3DE"/>
            </w:tcBorders>
            <w:shd w:fill="EAF3DE" w:val="clear"/>
            <w:tcMar>
              <w:start w:w="80" w:type="dxa"/>
              <w:end w:w="80" w:type="dxa"/>
            </w:tcMar>
            <w:vAlign w:val="center"/>
          </w:tcPr>
          <w:p>
            <w:pPr>
              <w:pStyle w:val="Normal"/>
              <w:jc w:val="center"/>
              <w:rPr/>
            </w:pPr>
            <w:r>
              <w:rPr>
                <w:rFonts w:eastAsia="Arial" w:cs="Arial"/>
                <w:b/>
                <w:bCs/>
                <w:color w:val="3B6D11"/>
                <w:sz w:val="20"/>
                <w:szCs w:val="20"/>
              </w:rPr>
              <w:t>Phase 2</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Days 31–90 (launch)</w:t>
            </w:r>
          </w:p>
        </w:tc>
        <w:tc>
          <w:tcPr>
            <w:tcW w:w="24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Capabilities 1, 2, 5 — Chatbot, Semantic Search, Recommendations</w:t>
            </w:r>
          </w:p>
        </w:tc>
        <w:tc>
          <w:tcPr>
            <w:tcW w:w="33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Chatbot answers 80% of test queries correctly with citations; Semantic search returns relevant results within 500ms; Recommendations appear on all publication pages</w:t>
            </w:r>
          </w:p>
        </w:tc>
      </w:tr>
      <w:tr>
        <w:trPr/>
        <w:tc>
          <w:tcPr>
            <w:tcW w:w="1599" w:type="dxa"/>
            <w:tcBorders>
              <w:top w:val="single" w:sz="2" w:space="0" w:color="D6E8F7"/>
              <w:start w:val="single" w:sz="2" w:space="0" w:color="D6E8F7"/>
              <w:bottom w:val="single" w:sz="2" w:space="0" w:color="D6E8F7"/>
              <w:end w:val="single" w:sz="2" w:space="0" w:color="D6E8F7"/>
            </w:tcBorders>
            <w:shd w:fill="D6E8F7" w:val="clear"/>
            <w:tcMar>
              <w:start w:w="80" w:type="dxa"/>
              <w:end w:w="80" w:type="dxa"/>
            </w:tcMar>
            <w:vAlign w:val="center"/>
          </w:tcPr>
          <w:p>
            <w:pPr>
              <w:pStyle w:val="Normal"/>
              <w:jc w:val="center"/>
              <w:rPr/>
            </w:pPr>
            <w:r>
              <w:rPr>
                <w:rFonts w:eastAsia="Arial" w:cs="Arial"/>
                <w:b/>
                <w:bCs/>
                <w:color w:val="185FA5"/>
                <w:sz w:val="20"/>
                <w:szCs w:val="20"/>
              </w:rPr>
              <w:t>Phase 3</w:t>
            </w:r>
          </w:p>
        </w:tc>
        <w:tc>
          <w:tcPr>
            <w:tcW w:w="20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Days 91–180</w:t>
            </w:r>
          </w:p>
        </w:tc>
        <w:tc>
          <w:tcPr>
            <w:tcW w:w="2400"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Capabilities 3, 4 — Policy Brief Generator, Literature Review Assistant</w:t>
            </w:r>
          </w:p>
        </w:tc>
        <w:tc>
          <w:tcPr>
            <w:tcW w:w="3361" w:type="dxa"/>
            <w:tcBorders>
              <w:top w:val="single" w:sz="2" w:space="0" w:color="D3D1C7"/>
              <w:start w:val="single" w:sz="2" w:space="0" w:color="D3D1C7"/>
              <w:bottom w:val="single" w:sz="2" w:space="0" w:color="D3D1C7"/>
              <w:end w:val="single" w:sz="2" w:space="0" w:color="D3D1C7"/>
            </w:tcBorders>
            <w:shd w:fill="FFFFFF" w:val="clear"/>
          </w:tcPr>
          <w:p>
            <w:pPr>
              <w:pStyle w:val="Normal"/>
              <w:rPr/>
            </w:pPr>
            <w:r>
              <w:rPr>
                <w:rFonts w:eastAsia="Arial" w:cs="Arial"/>
                <w:color w:val="1A1A1A"/>
                <w:sz w:val="20"/>
                <w:szCs w:val="20"/>
              </w:rPr>
              <w:t>Policy Brief Generator produces a draft brief from any NISER publication in under 60 seconds; Literature Review tool returns a structured review within 3 minutes; Both tools have audit log active in CMS</w:t>
            </w:r>
          </w:p>
        </w:tc>
      </w:tr>
      <w:tr>
        <w:trPr/>
        <w:tc>
          <w:tcPr>
            <w:tcW w:w="1599" w:type="dxa"/>
            <w:tcBorders>
              <w:top w:val="single" w:sz="2" w:space="0" w:color="FAEEDA"/>
              <w:start w:val="single" w:sz="2" w:space="0" w:color="FAEEDA"/>
              <w:bottom w:val="single" w:sz="2" w:space="0" w:color="FAEEDA"/>
              <w:end w:val="single" w:sz="2" w:space="0" w:color="FAEEDA"/>
            </w:tcBorders>
            <w:shd w:fill="FAEEDA" w:val="clear"/>
            <w:tcMar>
              <w:start w:w="80" w:type="dxa"/>
              <w:end w:w="80" w:type="dxa"/>
            </w:tcMar>
            <w:vAlign w:val="center"/>
          </w:tcPr>
          <w:p>
            <w:pPr>
              <w:pStyle w:val="Normal"/>
              <w:jc w:val="center"/>
              <w:rPr/>
            </w:pPr>
            <w:r>
              <w:rPr>
                <w:rFonts w:eastAsia="Arial" w:cs="Arial"/>
                <w:b/>
                <w:bCs/>
                <w:color w:val="854F0B"/>
                <w:sz w:val="20"/>
                <w:szCs w:val="20"/>
              </w:rPr>
              <w:t>Phase 4</w:t>
            </w:r>
          </w:p>
        </w:tc>
        <w:tc>
          <w:tcPr>
            <w:tcW w:w="20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Days 181–365</w:t>
            </w:r>
          </w:p>
        </w:tc>
        <w:tc>
          <w:tcPr>
            <w:tcW w:w="2400"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Capabilities 6, 7 — Policy Monitor, AI Translation</w:t>
            </w:r>
          </w:p>
        </w:tc>
        <w:tc>
          <w:tcPr>
            <w:tcW w:w="3361" w:type="dxa"/>
            <w:tcBorders>
              <w:top w:val="single" w:sz="2" w:space="0" w:color="D3D1C7"/>
              <w:start w:val="single" w:sz="2" w:space="0" w:color="D3D1C7"/>
              <w:bottom w:val="single" w:sz="2" w:space="0" w:color="D3D1C7"/>
              <w:end w:val="single" w:sz="2" w:space="0" w:color="D3D1C7"/>
            </w:tcBorders>
            <w:shd w:fill="F1EFE8" w:val="clear"/>
          </w:tcPr>
          <w:p>
            <w:pPr>
              <w:pStyle w:val="Normal"/>
              <w:rPr/>
            </w:pPr>
            <w:r>
              <w:rPr>
                <w:rFonts w:eastAsia="Arial" w:cs="Arial"/>
                <w:color w:val="1A1A1A"/>
                <w:sz w:val="20"/>
                <w:szCs w:val="20"/>
              </w:rPr>
              <w:t>Daily policy brief email delivered by 07:00 WAT; At least 5 Insights posts translated into Yoruba and Hausa within 30 days of tool launch; Translation quality reviewed and approved by designated language reviewers</w:t>
            </w:r>
          </w:p>
        </w:tc>
      </w:tr>
    </w:tbl>
    <w:p>
      <w:pPr>
        <w:pStyle w:val="Normal"/>
        <w:spacing w:before="0" w:after="200"/>
        <w:rPr/>
      </w:pPr>
      <w:r>
        <w:rPr/>
      </w:r>
    </w:p>
    <w:p>
      <w:pPr>
        <w:pStyle w:val="Normal"/>
        <w:pBdr>
          <w:bottom w:val="single" w:sz="4" w:space="1" w:color="185FA5"/>
        </w:pBdr>
        <w:spacing w:before="120" w:after="240"/>
        <w:rPr/>
      </w:pPr>
      <w:r>
        <w:rPr/>
      </w:r>
    </w:p>
    <w:p>
      <w:pPr>
        <w:pStyle w:val="Heading1"/>
        <w:spacing w:before="140" w:after="80"/>
        <w:rPr/>
      </w:pPr>
      <w:r>
        <w:rPr>
          <w:rFonts w:eastAsia="Arial" w:cs="Arial" w:ascii="Arial" w:hAnsi="Arial"/>
          <w:b/>
          <w:bCs/>
          <w:color w:val="854F0B"/>
          <w:sz w:val="22"/>
          <w:szCs w:val="22"/>
        </w:rPr>
        <w:t>Conclusion</w:t>
      </w:r>
    </w:p>
    <w:p>
      <w:pPr>
        <w:pStyle w:val="Normal"/>
        <w:spacing w:before="0" w:after="120"/>
        <w:rPr/>
      </w:pPr>
      <w:r>
        <w:rPr>
          <w:rFonts w:eastAsia="Arial" w:cs="Arial"/>
          <w:b/>
          <w:bCs/>
          <w:color w:val="1A1A1A"/>
          <w:sz w:val="22"/>
          <w:szCs w:val="22"/>
        </w:rPr>
        <w:t>Version 1.1 of this implementation plan</w:t>
      </w:r>
      <w:r>
        <w:rPr>
          <w:rFonts w:eastAsia="Arial" w:cs="Arial"/>
          <w:color w:val="1A1A1A"/>
          <w:sz w:val="22"/>
          <w:szCs w:val="22"/>
        </w:rPr>
        <w:t xml:space="preserve"> adds seven AI-powered capabilities to an already comprehensive twelve-month digital transformation programme. The AI additions are not aspirational extras — they directly serve NISER's core mandate. The Research Chatbot makes NISER's 50 years of research output conversationally accessible to policymakers who will not read a working paper. The Policy Monitor ensures NISER's researchers never miss an opportunity for timely commentary. The AI Translation Layer extends NISER's reach to Nigerians who do not read in English.</w:t>
      </w:r>
    </w:p>
    <w:p>
      <w:pPr>
        <w:pStyle w:val="Normal"/>
        <w:spacing w:before="0" w:after="120"/>
        <w:rPr/>
      </w:pPr>
      <w:r>
        <w:rPr>
          <w:rFonts w:eastAsia="Arial" w:cs="Arial"/>
          <w:color w:val="1A1A1A"/>
          <w:sz w:val="22"/>
          <w:szCs w:val="22"/>
        </w:rPr>
        <w:t xml:space="preserve">The total investment for v1.1 — including all AI integration — is </w:t>
      </w:r>
      <w:r>
        <w:rPr>
          <w:rFonts w:eastAsia="Arial" w:cs="Arial"/>
          <w:b/>
          <w:bCs/>
          <w:color w:val="1A1A1A"/>
          <w:sz w:val="22"/>
          <w:szCs w:val="22"/>
        </w:rPr>
        <w:t>$8,748–$17,823</w:t>
      </w:r>
      <w:r>
        <w:rPr>
          <w:rFonts w:eastAsia="Arial" w:cs="Arial"/>
          <w:color w:val="1A1A1A"/>
          <w:sz w:val="22"/>
          <w:szCs w:val="22"/>
        </w:rPr>
        <w:t xml:space="preserve"> over twelve months, with ongoing AI costs averaging </w:t>
      </w:r>
      <w:r>
        <w:rPr>
          <w:rFonts w:eastAsia="Arial" w:cs="Arial"/>
          <w:b/>
          <w:bCs/>
          <w:color w:val="1A1A1A"/>
          <w:sz w:val="22"/>
          <w:szCs w:val="22"/>
        </w:rPr>
        <w:t>$60–80/month</w:t>
      </w:r>
      <w:r>
        <w:rPr>
          <w:rFonts w:eastAsia="Arial" w:cs="Arial"/>
          <w:color w:val="1A1A1A"/>
          <w:sz w:val="22"/>
          <w:szCs w:val="22"/>
        </w:rPr>
        <w:t>. This is a modest investment for an institution with NISER's mandate, budget, and the opportunity to lead among African policy research institutions in AI-enhanced knowledge dissemination.</w:t>
      </w:r>
    </w:p>
    <w:p>
      <w:pPr>
        <w:pStyle w:val="Normal"/>
        <w:spacing w:before="0" w:after="200"/>
        <w:rPr/>
      </w:pPr>
      <w:r>
        <w:rPr/>
      </w:r>
    </w:p>
    <w:p>
      <w:pPr>
        <w:pStyle w:val="Normal"/>
        <w:pBdr>
          <w:bottom w:val="single" w:sz="4" w:space="1" w:color="185FA5"/>
        </w:pBdr>
        <w:spacing w:before="120" w:after="240"/>
        <w:rPr/>
      </w:pPr>
      <w:r>
        <w:rPr/>
      </w:r>
    </w:p>
    <w:p>
      <w:pPr>
        <w:pStyle w:val="Normal"/>
        <w:spacing w:before="120" w:after="60"/>
        <w:jc w:val="center"/>
        <w:rPr/>
      </w:pPr>
      <w:r>
        <w:rPr>
          <w:rFonts w:eastAsia="Arial" w:cs="Arial"/>
          <w:color w:val="5F5E5A"/>
          <w:sz w:val="18"/>
          <w:szCs w:val="18"/>
        </w:rPr>
        <w:t>NISER Nigeria  ·  Website Modernisation Implementation Plan v1.1  ·  May 2026</w:t>
      </w:r>
    </w:p>
    <w:p>
      <w:pPr>
        <w:pStyle w:val="Normal"/>
        <w:spacing w:before="0" w:after="0"/>
        <w:jc w:val="center"/>
        <w:rPr/>
      </w:pPr>
      <w:r>
        <w:rPr>
          <w:rFonts w:eastAsia="Arial" w:cs="Arial"/>
          <w:color w:val="D3D1C7"/>
          <w:sz w:val="16"/>
          <w:szCs w:val="16"/>
        </w:rPr>
        <w:t>Companion documents: Audit Report  ·  Comparative Analysis  ·  Gap Analysis  ·  Alternative Plan v2.0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D6E8F7"/>
      </w:pBdr>
      <w:tabs>
        <w:tab w:val="clear" w:pos="720"/>
        <w:tab w:val="right" w:pos="9026" w:leader="none"/>
      </w:tabs>
      <w:spacing w:before="100" w:after="0"/>
      <w:rPr/>
    </w:pPr>
    <w:r>
      <w:rPr>
        <w:rFonts w:eastAsia="Arial" w:cs="Arial"/>
        <w:color w:val="5F5E5A"/>
        <w:sz w:val="18"/>
        <w:szCs w:val="18"/>
      </w:rPr>
      <w:t>National Institute of Social and Economic Research (NISER)</w:t>
    </w:r>
    <w:r>
      <w:rPr>
        <w:rFonts w:eastAsia="Arial" w:cs="Arial"/>
        <w:color w:val="1A1A1A"/>
        <w:sz w:val="18"/>
        <w:szCs w:val="18"/>
      </w:rPr>
      <w:tab/>
    </w:r>
    <w:r>
      <w:rPr>
        <w:rFonts w:eastAsia="Arial" w:cs="Arial"/>
        <w:color w:val="5F5E5A"/>
        <w:sz w:val="18"/>
        <w:szCs w:val="18"/>
      </w:rPr>
      <w:t xml:space="preserve">Page </w:t>
    </w:r>
    <w:r>
      <w:rPr>
        <w:rFonts w:eastAsia="Arial" w:cs="Arial"/>
        <w:color w:val="D3D1C7"/>
        <w:sz w:val="16"/>
        <w:szCs w:val="16"/>
      </w:rPr>
      <w:fldChar w:fldCharType="begin"/>
    </w:r>
    <w:r>
      <w:rPr>
        <w:rFonts w:eastAsia="Arial" w:cs="Arial"/>
        <w:color w:val="D3D1C7"/>
        <w:sz w:val="16"/>
        <w:szCs w:val="16"/>
      </w:rPr>
      <w:instrText xml:space="preserve"> PAGE </w:instrText>
    </w:r>
    <w:r>
      <w:rPr>
        <w:rFonts w:eastAsia="Arial" w:cs="Arial"/>
        <w:color w:val="D3D1C7"/>
        <w:sz w:val="16"/>
        <w:szCs w:val="16"/>
      </w:rPr>
      <w:fldChar w:fldCharType="separate"/>
    </w:r>
    <w:r>
      <w:rPr>
        <w:rFonts w:eastAsia="Arial" w:cs="Arial"/>
        <w:color w:val="D3D1C7"/>
        <w:sz w:val="16"/>
        <w:szCs w:val="16"/>
      </w:rPr>
      <w:t>19</w:t>
    </w:r>
    <w:r>
      <w:rPr>
        <w:rFonts w:eastAsia="Arial" w:cs="Arial"/>
        <w:color w:val="D3D1C7"/>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D6E8F7"/>
      </w:pBdr>
      <w:tabs>
        <w:tab w:val="clear" w:pos="720"/>
        <w:tab w:val="right" w:pos="9026" w:leader="none"/>
      </w:tabs>
      <w:spacing w:before="100" w:after="0"/>
      <w:rPr/>
    </w:pPr>
    <w:r>
      <w:rPr>
        <w:rFonts w:eastAsia="Arial" w:cs="Arial"/>
        <w:color w:val="5F5E5A"/>
        <w:sz w:val="18"/>
        <w:szCs w:val="18"/>
      </w:rPr>
      <w:t>National Institute of Social and Economic Research (NISER)</w:t>
    </w:r>
    <w:r>
      <w:rPr>
        <w:rFonts w:eastAsia="Arial" w:cs="Arial"/>
        <w:color w:val="1A1A1A"/>
        <w:sz w:val="18"/>
        <w:szCs w:val="18"/>
      </w:rPr>
      <w:tab/>
    </w:r>
    <w:r>
      <w:rPr>
        <w:rFonts w:eastAsia="Arial" w:cs="Arial"/>
        <w:color w:val="5F5E5A"/>
        <w:sz w:val="18"/>
        <w:szCs w:val="18"/>
      </w:rPr>
      <w:t xml:space="preserve">Page </w:t>
    </w:r>
    <w:r>
      <w:rPr>
        <w:rFonts w:eastAsia="Arial" w:cs="Arial"/>
        <w:color w:val="D3D1C7"/>
        <w:sz w:val="16"/>
        <w:szCs w:val="16"/>
      </w:rPr>
      <w:fldChar w:fldCharType="begin"/>
    </w:r>
    <w:r>
      <w:rPr>
        <w:rFonts w:eastAsia="Arial" w:cs="Arial"/>
        <w:color w:val="D3D1C7"/>
        <w:sz w:val="16"/>
        <w:szCs w:val="16"/>
      </w:rPr>
      <w:instrText xml:space="preserve"> PAGE </w:instrText>
    </w:r>
    <w:r>
      <w:rPr>
        <w:rFonts w:eastAsia="Arial" w:cs="Arial"/>
        <w:color w:val="D3D1C7"/>
        <w:sz w:val="16"/>
        <w:szCs w:val="16"/>
      </w:rPr>
      <w:fldChar w:fldCharType="separate"/>
    </w:r>
    <w:r>
      <w:rPr>
        <w:rFonts w:eastAsia="Arial" w:cs="Arial"/>
        <w:color w:val="D3D1C7"/>
        <w:sz w:val="16"/>
        <w:szCs w:val="16"/>
      </w:rPr>
      <w:t>19</w:t>
    </w:r>
    <w:r>
      <w:rPr>
        <w:rFonts w:eastAsia="Arial" w:cs="Arial"/>
        <w:color w:val="D3D1C7"/>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D6E8F7"/>
      </w:pBdr>
      <w:tabs>
        <w:tab w:val="clear" w:pos="720"/>
        <w:tab w:val="right" w:pos="9026" w:leader="none"/>
      </w:tabs>
      <w:spacing w:before="0" w:after="100"/>
      <w:rPr/>
    </w:pPr>
    <w:r>
      <w:rPr>
        <w:rFonts w:eastAsia="Arial" w:cs="Arial"/>
        <w:color w:val="5F5E5A"/>
        <w:sz w:val="18"/>
        <w:szCs w:val="18"/>
      </w:rPr>
      <w:t>NISER Nigeria — Website Modernisation Implementation Plan v1.1</w:t>
    </w:r>
    <w:r>
      <w:rPr>
        <w:rFonts w:eastAsia="Arial" w:cs="Arial"/>
        <w:color w:val="1A1A1A"/>
        <w:sz w:val="18"/>
        <w:szCs w:val="18"/>
      </w:rPr>
      <w:tab/>
    </w:r>
    <w:r>
      <w:rPr>
        <w:rFonts w:eastAsia="Arial" w:cs="Arial"/>
        <w:color w:val="5F5E5A"/>
        <w:sz w:val="18"/>
        <w:szCs w:val="18"/>
      </w:rPr>
      <w:t>May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D6E8F7"/>
      </w:pBdr>
      <w:tabs>
        <w:tab w:val="clear" w:pos="720"/>
        <w:tab w:val="right" w:pos="9026" w:leader="none"/>
      </w:tabs>
      <w:spacing w:before="0" w:after="100"/>
      <w:rPr/>
    </w:pPr>
    <w:r>
      <w:rPr>
        <w:rFonts w:eastAsia="Arial" w:cs="Arial"/>
        <w:color w:val="5F5E5A"/>
        <w:sz w:val="18"/>
        <w:szCs w:val="18"/>
      </w:rPr>
      <w:t>NISER Nigeria — Website Modernisation Implementation Plan v1.1</w:t>
    </w:r>
    <w:r>
      <w:rPr>
        <w:rFonts w:eastAsia="Arial" w:cs="Arial"/>
        <w:color w:val="1A1A1A"/>
        <w:sz w:val="18"/>
        <w:szCs w:val="18"/>
      </w:rPr>
      <w:tab/>
    </w:r>
    <w:r>
      <w:rPr>
        <w:rFonts w:eastAsia="Arial" w:cs="Arial"/>
        <w:color w:val="5F5E5A"/>
        <w:sz w:val="18"/>
        <w:szCs w:val="18"/>
      </w:rPr>
      <w:t>May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20" w:after="180"/>
      <w:outlineLvl w:val="0"/>
    </w:pPr>
    <w:rPr>
      <w:rFonts w:ascii="Arial" w:hAnsi="Arial" w:eastAsia="Arial" w:cs="Arial"/>
      <w:b/>
      <w:bCs/>
      <w:color w:val="0D2E5A"/>
      <w:sz w:val="40"/>
      <w:szCs w:val="40"/>
    </w:rPr>
  </w:style>
  <w:style w:type="paragraph" w:styleId="Heading2">
    <w:name w:val="heading 2"/>
    <w:basedOn w:val="Heading"/>
    <w:qFormat/>
    <w:pPr>
      <w:spacing w:before="240" w:after="140"/>
      <w:outlineLvl w:val="1"/>
    </w:pPr>
    <w:rPr>
      <w:rFonts w:ascii="Arial" w:hAnsi="Arial" w:eastAsia="Arial" w:cs="Arial"/>
      <w:b/>
      <w:bCs/>
      <w:color w:val="185FA5"/>
      <w:sz w:val="30"/>
      <w:szCs w:val="30"/>
    </w:rPr>
  </w:style>
  <w:style w:type="paragraph" w:styleId="Heading3">
    <w:name w:val="heading 3"/>
    <w:basedOn w:val="Heading"/>
    <w:qFormat/>
    <w:pPr>
      <w:spacing w:before="180" w:after="100"/>
      <w:outlineLvl w:val="2"/>
    </w:pPr>
    <w:rPr>
      <w:rFonts w:ascii="Arial" w:hAnsi="Arial" w:eastAsia="Arial" w:cs="Arial"/>
      <w:b/>
      <w:bCs/>
      <w:color w:val="0F6E56"/>
      <w:sz w:val="24"/>
      <w:szCs w:val="24"/>
    </w:rPr>
  </w:style>
  <w:style w:type="paragraph" w:styleId="Heading4">
    <w:name w:val="heading 4"/>
    <w:basedOn w:val="Heading"/>
    <w:qFormat/>
    <w:pPr>
      <w:spacing w:before="140" w:after="80"/>
      <w:outlineLvl w:val="3"/>
    </w:pPr>
    <w:rPr>
      <w:rFonts w:ascii="Arial" w:hAnsi="Arial" w:eastAsia="Arial" w:cs="Arial"/>
      <w:b/>
      <w:bCs/>
      <w:color w:val="854F0B"/>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176</TotalTime>
  <Application>LibreOffice/26.2.3.2$Linux_X86_64 LibreOffice_project/70e089b17412e4cb7773e41413306b17a2328c34</Application>
  <AppVersion>15.0000</AppVersion>
  <Pages>19</Pages>
  <Words>5255</Words>
  <Characters>31418</Characters>
  <CharactersWithSpaces>36068</CharactersWithSpaces>
  <Paragraphs>689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2026-05-30T22:07:30Z</dcterms:created>
  <dc:creator>Un-named</dc:creator>
  <dc:description/>
  <dc:language>en-US</dc:language>
  <cp:lastModifiedBy/>
  <dcterms:modified xsi:type="dcterms:W3CDTF">2026-05-31T17:28:20Z</dcterms:modified>
  <cp:revision>5</cp:revision>
  <dc:subject/>
  <dc:title/>
</cp:coreProperties>
</file>