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CPE 415 — Project Overview</w:t>
      </w:r>
    </w:p>
    <w:p>
      <w:pPr>
        <w:pStyle w:val="Heading1"/>
      </w:pPr>
      <w:r>
        <w:t>CPE 415 — Statistical Distribution Modelling of EMF Exposure Around a Cellular Base Station</w:t>
      </w:r>
    </w:p>
    <w:p>
      <w:pPr>
        <w:ind w:left="432"/>
      </w:pPr>
      <w:r>
        <w:rPr>
          <w:i/>
        </w:rPr>
        <w:t>**FUTA — Department of Electrical &amp; Electronics Engineering · Mathematical Modelling Project · 2025/2026 Session**</w:t>
      </w:r>
    </w:p>
    <w:p>
      <w:pPr>
        <w:ind w:left="432"/>
      </w:pPr>
      <w:r>
        <w:rPr>
          <w:i/>
        </w:rPr>
        <w:t>Submission deadline: **24 April 2026**</w:t>
      </w:r>
    </w:p>
    <w:p>
      <w:r>
        <w:t>---</w:t>
      </w:r>
    </w:p>
    <w:p>
      <w:pPr>
        <w:pStyle w:val="Heading2"/>
      </w:pPr>
      <w:r>
        <w:t>📌 Hey group — start here</w:t>
      </w:r>
    </w:p>
    <w:p>
      <w:r>
        <w:t xml:space="preserve">Below is a section-by-section table with </w:t>
      </w:r>
      <w:r>
        <w:rPr>
          <w:b/>
        </w:rPr>
        <w:t>exactly what to download for your assigned part</w:t>
      </w:r>
      <w:r>
        <w:t>. Click the file, hit the download button on GitHub, open it in Word, and you're good. Everything has been pre-computed — the tables, the plots, the Methods section — you just need to write the surrounding narrative for your section and cite what's already here.</w:t>
      </w:r>
    </w:p>
    <w:p>
      <w:pPr>
        <w:pStyle w:val="Heading3"/>
      </w:pPr>
      <w:r>
        <w:t>📥 Where to download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Your section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Click to download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What's inside you can paste straight 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Introduction &amp; Literature Review</w:t>
            </w:r>
          </w:p>
        </w:tc>
        <w:tc>
          <w:tcPr>
            <w:tcW w:type="dxa" w:w="3120"/>
          </w:tcPr>
          <w:p>
            <w:r/>
            <w:r>
              <w:t>[</w:t>
            </w:r>
            <w:r>
              <w:rPr>
                <w:rFonts w:ascii="Consolas" w:hAnsi="Consolas"/>
                <w:color w:val="660099"/>
                <w:sz w:val="20"/>
              </w:rPr>
              <w:t>README.md</w:t>
            </w:r>
            <w:r>
              <w:t>](README.md) + [</w:t>
            </w:r>
            <w:r>
              <w:rPr>
                <w:rFonts w:ascii="Consolas" w:hAnsi="Consolas"/>
                <w:color w:val="660099"/>
                <w:sz w:val="20"/>
              </w:rPr>
              <w:t>outputs/report.md</w:t>
            </w:r>
            <w:r>
              <w:t>](outputs/report.md)</w:t>
            </w:r>
          </w:p>
        </w:tc>
        <w:tc>
          <w:tcPr>
            <w:tcW w:type="dxa" w:w="3120"/>
          </w:tcPr>
          <w:p>
            <w:r/>
            <w:r>
              <w:t xml:space="preserve">Problem statement, context, headline results summary. Use the Background/Motivation prompts in </w:t>
            </w:r>
            <w:r>
              <w:rPr>
                <w:i/>
              </w:rPr>
              <w:t>What this project is</w:t>
            </w:r>
            <w:r>
              <w:t xml:space="preserve"> below, plus the citations listed in </w:t>
            </w:r>
            <w:r>
              <w:rPr>
                <w:rFonts w:ascii="Consolas" w:hAnsi="Consolas"/>
                <w:color w:val="660099"/>
                <w:sz w:val="20"/>
              </w:rPr>
              <w:t>METHODS.md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Methods (Section II)</w:t>
            </w:r>
          </w:p>
        </w:tc>
        <w:tc>
          <w:tcPr>
            <w:tcW w:type="dxa" w:w="3120"/>
          </w:tcPr>
          <w:p>
            <w:r/>
            <w:r>
              <w:t>[</w:t>
            </w:r>
            <w:r>
              <w:rPr>
                <w:rFonts w:ascii="Consolas" w:hAnsi="Consolas"/>
                <w:color w:val="660099"/>
                <w:sz w:val="20"/>
              </w:rPr>
              <w:t>METHODS.md</w:t>
            </w:r>
            <w:r>
              <w:t>](METHODS.md) · [</w:t>
            </w:r>
            <w:r>
              <w:rPr>
                <w:rFonts w:ascii="Consolas" w:hAnsi="Consolas"/>
                <w:color w:val="660099"/>
                <w:sz w:val="20"/>
              </w:rPr>
              <w:t>outputs/CPE415_Methods.docx</w:t>
            </w:r>
            <w:r>
              <w:t>](outputs/CPE415_Methods.docx)</w:t>
            </w:r>
          </w:p>
        </w:tc>
        <w:tc>
          <w:tcPr>
            <w:tcW w:type="dxa" w:w="3120"/>
          </w:tcPr>
          <w:p>
            <w:r/>
            <w:r>
              <w:t xml:space="preserve">✅ </w:t>
            </w:r>
            <w:r>
              <w:rPr>
                <w:b/>
              </w:rPr>
              <w:t>Already written.</w:t>
            </w:r>
            <w:r>
              <w:t xml:space="preserve"> Open the .docx in Word, touch up formatting/figures, done.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Results &amp; Discussion (Section V)</w:t>
            </w:r>
          </w:p>
        </w:tc>
        <w:tc>
          <w:tcPr>
            <w:tcW w:type="dxa" w:w="3120"/>
          </w:tcPr>
          <w:p>
            <w:r/>
            <w:r>
              <w:t>[</w:t>
            </w:r>
            <w:r>
              <w:rPr>
                <w:rFonts w:ascii="Consolas" w:hAnsi="Consolas"/>
                <w:color w:val="660099"/>
                <w:sz w:val="20"/>
              </w:rPr>
              <w:t>outputs/report.md</w:t>
            </w:r>
            <w:r>
              <w:t>](outputs/report.md) · [</w:t>
            </w:r>
            <w:r>
              <w:rPr>
                <w:rFonts w:ascii="Consolas" w:hAnsi="Consolas"/>
                <w:color w:val="660099"/>
                <w:sz w:val="20"/>
              </w:rPr>
              <w:t>outputs/CPE415_Results.docx</w:t>
            </w:r>
            <w:r>
              <w:t>](outputs/CPE415_Results.docx) · [</w:t>
            </w:r>
            <w:r>
              <w:rPr>
                <w:rFonts w:ascii="Consolas" w:hAnsi="Consolas"/>
                <w:color w:val="660099"/>
                <w:sz w:val="20"/>
              </w:rPr>
              <w:t>outputs/fit_results.csv</w:t>
            </w:r>
            <w:r>
              <w:t>](outputs/fit_results.csv) · [</w:t>
            </w:r>
            <w:r>
              <w:rPr>
                <w:rFonts w:ascii="Consolas" w:hAnsi="Consolas"/>
                <w:color w:val="660099"/>
                <w:sz w:val="20"/>
              </w:rPr>
              <w:t>outputs/plots/</w:t>
            </w:r>
            <w:r>
              <w:t>](outputs/plots)</w:t>
            </w:r>
          </w:p>
        </w:tc>
        <w:tc>
          <w:tcPr>
            <w:tcW w:type="dxa" w:w="3120"/>
          </w:tcPr>
          <w:p>
            <w:r/>
            <w:r>
              <w:t xml:space="preserve">Every fitted distribution, every KS/AD/SW/AIC value, every best-fit verdict, the distance-regression output. Plots are in </w:t>
            </w:r>
            <w:r>
              <w:rPr>
                <w:rFonts w:ascii="Consolas" w:hAnsi="Consolas"/>
                <w:color w:val="660099"/>
                <w:sz w:val="20"/>
              </w:rPr>
              <w:t>outputs/plots/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Regulatory Compliance (Section VI)</w:t>
            </w:r>
          </w:p>
        </w:tc>
        <w:tc>
          <w:tcPr>
            <w:tcW w:type="dxa" w:w="3120"/>
          </w:tcPr>
          <w:p>
            <w:r/>
            <w:r>
              <w:t>Key numbers below ⬇</w:t>
            </w:r>
          </w:p>
        </w:tc>
        <w:tc>
          <w:tcPr>
            <w:tcW w:type="dxa" w:w="3120"/>
          </w:tcPr>
          <w:p>
            <w:r/>
            <w:r>
              <w:t xml:space="preserve">Our max RF = </w:t>
            </w:r>
            <w:r>
              <w:rPr>
                <w:b/>
              </w:rPr>
              <w:t>0.83 mW/m²</w:t>
            </w:r>
            <w:r>
              <w:t xml:space="preserve">. ICNIRP public limit at 2–3 GHz = </w:t>
            </w:r>
            <w:r>
              <w:rPr>
                <w:b/>
              </w:rPr>
              <w:t>10 000 mW/m²</w:t>
            </w:r>
            <w:r>
              <w:t xml:space="preserve">. Ratio = </w:t>
            </w:r>
            <w:r>
              <w:rPr>
                <w:b/>
              </w:rPr>
              <w:t>~12 000× below limit</w:t>
            </w:r>
            <w:r>
              <w:t>. Cite ICNIRP 2020 Guidelines.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Conclusion (Section VII)</w:t>
            </w:r>
          </w:p>
        </w:tc>
        <w:tc>
          <w:tcPr>
            <w:tcW w:type="dxa" w:w="3120"/>
          </w:tcPr>
          <w:p>
            <w:r/>
            <w:r>
              <w:t>[</w:t>
            </w:r>
            <w:r>
              <w:rPr>
                <w:rFonts w:ascii="Consolas" w:hAnsi="Consolas"/>
                <w:color w:val="660099"/>
                <w:sz w:val="20"/>
              </w:rPr>
              <w:t>outputs/report.md</w:t>
            </w:r>
            <w:r>
              <w:t>](outputs/report.md)</w:t>
            </w:r>
          </w:p>
        </w:tc>
        <w:tc>
          <w:tcPr>
            <w:tcW w:type="dxa" w:w="3120"/>
          </w:tcPr>
          <w:p>
            <w:r/>
            <w:r>
              <w:t>Summarise: Lognormal wins for RF (KS p = 0.977), magnetic-field quantisation issue, E-field below detection floor, safety compliant.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References / formatting</w:t>
            </w:r>
          </w:p>
        </w:tc>
        <w:tc>
          <w:tcPr>
            <w:tcW w:type="dxa" w:w="3120"/>
          </w:tcPr>
          <w:p>
            <w:r/>
            <w:r>
              <w:t>[</w:t>
            </w:r>
            <w:r>
              <w:rPr>
                <w:rFonts w:ascii="Consolas" w:hAnsi="Consolas"/>
                <w:color w:val="660099"/>
                <w:sz w:val="20"/>
              </w:rPr>
              <w:t>METHODS.md</w:t>
            </w:r>
            <w:r>
              <w:t>](METHODS.md)</w:t>
            </w:r>
          </w:p>
        </w:tc>
        <w:tc>
          <w:tcPr>
            <w:tcW w:type="dxa" w:w="3120"/>
          </w:tcPr>
          <w:p>
            <w:r/>
            <w:r>
              <w:t>Numbered citations [1]–[10] already used in Methods — extend the same list.</w:t>
            </w:r>
          </w:p>
        </w:tc>
      </w:tr>
    </w:tbl>
    <w:p/>
    <w:p>
      <w:pPr>
        <w:pStyle w:val="Heading3"/>
      </w:pPr>
      <w:r>
        <w:t>🟢 Start here if you're new to the repo</w:t>
      </w:r>
    </w:p>
    <w:p>
      <w:pPr>
        <w:pStyle w:val="ListNumber"/>
      </w:pPr>
      <w:r>
        <w:t>Open [</w:t>
      </w:r>
      <w:r>
        <w:rPr>
          <w:rFonts w:ascii="Consolas" w:hAnsi="Consolas"/>
          <w:color w:val="660099"/>
          <w:sz w:val="20"/>
        </w:rPr>
        <w:t>METHODS.md</w:t>
      </w:r>
      <w:r>
        <w:t>](METHODS.md) — read it top to bottom. That's the spine of the report.</w:t>
      </w:r>
    </w:p>
    <w:p>
      <w:pPr>
        <w:pStyle w:val="ListNumber"/>
      </w:pPr>
      <w:r>
        <w:t>Open [</w:t>
      </w:r>
      <w:r>
        <w:rPr>
          <w:rFonts w:ascii="Consolas" w:hAnsi="Consolas"/>
          <w:color w:val="660099"/>
          <w:sz w:val="20"/>
        </w:rPr>
        <w:t>outputs/report.md</w:t>
      </w:r>
      <w:r>
        <w:t>](outputs/report.md) — that's what every fitted distribution looks like.</w:t>
      </w:r>
    </w:p>
    <w:p>
      <w:pPr>
        <w:pStyle w:val="ListNumber"/>
      </w:pPr>
      <w:r>
        <w:t>Browse [</w:t>
      </w:r>
      <w:r>
        <w:rPr>
          <w:rFonts w:ascii="Consolas" w:hAnsi="Consolas"/>
          <w:color w:val="660099"/>
          <w:sz w:val="20"/>
        </w:rPr>
        <w:t>outputs/plots/</w:t>
      </w:r>
      <w:r>
        <w:t>](outputs/plots) — those are the figures for the Results section.</w:t>
      </w:r>
    </w:p>
    <w:p>
      <w:r>
        <w:t>---</w:t>
      </w:r>
    </w:p>
    <w:p>
      <w:pPr>
        <w:pStyle w:val="Heading2"/>
      </w:pPr>
      <w:r>
        <w:t>What this project is (plain English)</w:t>
      </w:r>
    </w:p>
    <w:p>
      <w:r>
        <w:t>We already recorded field measurements at the MTN LTE mast near Bisi Balogun Hostel last semester (EEE304): RF power density, standard &amp; weighted magnetic fields, and electric fields at 8 distances × 8 compass bearings around the tower.</w:t>
      </w:r>
    </w:p>
    <w:p>
      <w:r>
        <w:t xml:space="preserve">For CPE 415 we took those numbers and </w:t>
      </w:r>
      <w:r>
        <w:rPr>
          <w:b/>
        </w:rPr>
        <w:t>figured out which probability distribution describes them best</w:t>
      </w:r>
      <w:r>
        <w:t xml:space="preserve"> — Normal, Lognormal, Gamma, Weibull, Rayleigh, Exponential, Nakagami. We fitted each candidate with Maximum Likelihood, ran standard goodness-of-fit tests (Kolmogorov–Smirnov, Anderson–Darling, Shapiro–Wilk), ranked them by AIC, and picked a winner per variable. That winning distribution — with our fitted parameters plugged in — </w:t>
      </w:r>
      <w:r>
        <w:rPr>
          <w:b/>
        </w:rPr>
        <w:t>is our mathematical model</w:t>
      </w:r>
      <w:r>
        <w:t>.</w:t>
      </w:r>
    </w:p>
    <w:p>
      <w:r>
        <w:t xml:space="preserve">In other words: </w:t>
      </w:r>
      <w:r>
        <w:rPr>
          <w:i/>
        </w:rPr>
        <w:t>"given a position around the mast, predict (or validate) what the meter would show, using a probability distribution calibrated to our own data."</w:t>
      </w:r>
    </w:p>
    <w:p>
      <w:r>
        <w:t>---</w:t>
      </w:r>
    </w:p>
    <w:p>
      <w:pPr>
        <w:pStyle w:val="Heading2"/>
      </w:pPr>
      <w:r>
        <w:t>🎯 Headline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Best-fit distribution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KS p-value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RF Power Density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Lognormal</w:t>
            </w:r>
            <w:r>
              <w:t xml:space="preserve"> (s = 0.72, scale = 0.12)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0.977</w:t>
            </w:r>
          </w:p>
        </w:tc>
        <w:tc>
          <w:tcPr>
            <w:tcW w:type="dxa" w:w="1872"/>
          </w:tcPr>
          <w:p>
            <w:r/>
            <w:r>
              <w:t>Strong fit ✓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RF Power Density (Peak)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Gamma</w:t>
            </w:r>
            <w:r>
              <w:t xml:space="preserve"> (a = 2.45, scale = 0.087)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0.783</w:t>
            </w:r>
          </w:p>
        </w:tc>
        <w:tc>
          <w:tcPr>
            <w:tcW w:type="dxa" w:w="1872"/>
          </w:tcPr>
          <w:p>
            <w:r/>
            <w:r>
              <w:t>Strong fit ✓</w:t>
            </w:r>
          </w:p>
        </w:tc>
      </w:tr>
      <w:tr>
        <w:tc>
          <w:tcPr>
            <w:tcW w:type="dxa" w:w="1872"/>
          </w:tcPr>
          <w:p>
            <w:r/>
            <w:r>
              <w:t>Standard Magnetic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t>Normal</w:t>
            </w:r>
          </w:p>
        </w:tc>
        <w:tc>
          <w:tcPr>
            <w:tcW w:type="dxa" w:w="1872"/>
          </w:tcPr>
          <w:p>
            <w:r/>
            <w:r>
              <w:t>0.000</w:t>
            </w:r>
          </w:p>
        </w:tc>
        <w:tc>
          <w:tcPr>
            <w:tcW w:type="dxa" w:w="1872"/>
          </w:tcPr>
          <w:p>
            <w:r/>
            <w:r>
              <w:t>Meter resolution (0.1 mG) limits fit</w:t>
            </w:r>
          </w:p>
        </w:tc>
      </w:tr>
      <w:tr>
        <w:tc>
          <w:tcPr>
            <w:tcW w:type="dxa" w:w="1872"/>
          </w:tcPr>
          <w:p>
            <w:r/>
            <w:r>
              <w:t>Standard Magnetic (Peak)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t>Weibull</w:t>
            </w:r>
          </w:p>
        </w:tc>
        <w:tc>
          <w:tcPr>
            <w:tcW w:type="dxa" w:w="1872"/>
          </w:tcPr>
          <w:p>
            <w:r/>
            <w:r>
              <w:t>0.000</w:t>
            </w:r>
          </w:p>
        </w:tc>
        <w:tc>
          <w:tcPr>
            <w:tcW w:type="dxa" w:w="1872"/>
          </w:tcPr>
          <w:p>
            <w:r/>
            <w:r>
              <w:t>Same quantisation issue</w:t>
            </w:r>
          </w:p>
        </w:tc>
      </w:tr>
      <w:tr>
        <w:tc>
          <w:tcPr>
            <w:tcW w:type="dxa" w:w="1872"/>
          </w:tcPr>
          <w:p>
            <w:r/>
            <w:r>
              <w:t>Weighted Magnetic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t>Nakagami</w:t>
            </w:r>
          </w:p>
        </w:tc>
        <w:tc>
          <w:tcPr>
            <w:tcW w:type="dxa" w:w="1872"/>
          </w:tcPr>
          <w:p>
            <w:r/>
            <w:r>
              <w:t>0.000</w:t>
            </w:r>
          </w:p>
        </w:tc>
        <w:tc>
          <w:tcPr>
            <w:tcW w:type="dxa" w:w="1872"/>
          </w:tcPr>
          <w:p>
            <w:r/>
            <w:r>
              <w:t>Same</w:t>
            </w:r>
          </w:p>
        </w:tc>
      </w:tr>
      <w:tr>
        <w:tc>
          <w:tcPr>
            <w:tcW w:type="dxa" w:w="1872"/>
          </w:tcPr>
          <w:p>
            <w:r/>
            <w:r>
              <w:t>Weighted Magnetic (Peak)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t>Rayleigh</w:t>
            </w:r>
          </w:p>
        </w:tc>
        <w:tc>
          <w:tcPr>
            <w:tcW w:type="dxa" w:w="1872"/>
          </w:tcPr>
          <w:p>
            <w:r/>
            <w:r>
              <w:t>0.000</w:t>
            </w:r>
          </w:p>
        </w:tc>
        <w:tc>
          <w:tcPr>
            <w:tcW w:type="dxa" w:w="1872"/>
          </w:tcPr>
          <w:p>
            <w:r/>
            <w:r>
              <w:t>Same</w:t>
            </w:r>
          </w:p>
        </w:tc>
      </w:tr>
      <w:tr>
        <w:tc>
          <w:tcPr>
            <w:tcW w:type="dxa" w:w="1872"/>
          </w:tcPr>
          <w:p>
            <w:r/>
            <w:r>
              <w:t>Weighted Electric (Peak)</w:t>
            </w:r>
          </w:p>
        </w:tc>
        <w:tc>
          <w:tcPr>
            <w:tcW w:type="dxa" w:w="1872"/>
          </w:tcPr>
          <w:p>
            <w:r/>
            <w:r>
              <w:t>49</w:t>
            </w:r>
          </w:p>
        </w:tc>
        <w:tc>
          <w:tcPr>
            <w:tcW w:type="dxa" w:w="1872"/>
          </w:tcPr>
          <w:p>
            <w:r/>
            <w:r>
              <w:t>—</w:t>
            </w:r>
          </w:p>
        </w:tc>
        <w:tc>
          <w:tcPr>
            <w:tcW w:type="dxa" w:w="1872"/>
          </w:tcPr>
          <w:p>
            <w:r/>
            <w:r>
              <w:t>—</w:t>
            </w:r>
          </w:p>
        </w:tc>
        <w:tc>
          <w:tcPr>
            <w:tcW w:type="dxa" w:w="1872"/>
          </w:tcPr>
          <w:p>
            <w:r/>
            <w:r>
              <w:t>35/49 zeros; below meter detection floor</w:t>
            </w:r>
          </w:p>
        </w:tc>
      </w:tr>
    </w:tbl>
    <w:p/>
    <w:p>
      <w:r>
        <w:rPr>
          <w:b/>
        </w:rPr>
        <w:t>Headline finding:</w:t>
      </w:r>
      <w:r>
        <w:t xml:space="preserve"> RF power density follows a </w:t>
      </w:r>
      <w:r>
        <w:rPr>
          <w:b/>
        </w:rPr>
        <w:t>Lognormal distribution</w:t>
      </w:r>
      <w:r>
        <w:t xml:space="preserve"> — consistent with shadow-fading propagation theory and matching independent results from comparable Nigerian (Olatunde 2022) and Rwandan (Nshizirungu 2021) studies.</w:t>
      </w:r>
    </w:p>
    <w:p>
      <w:r>
        <w:rPr>
          <w:b/>
        </w:rPr>
        <w:t>Secondary finding:</w:t>
      </w:r>
      <w:r>
        <w:t xml:space="preserve"> Mean RF </w:t>
      </w:r>
      <w:r>
        <w:rPr>
          <w:i/>
        </w:rPr>
        <w:t>increases</w:t>
      </w:r>
      <w:r>
        <w:t xml:space="preserve"> with distance from the mast (empirical exponent ≈ −0.36, R² = 0.69). Not an error — reflects the radiation pattern of downtilted sector antennas, which project energy outward rather than straight down. The base of the mast sits in a partial "RF shadow" zone.</w:t>
      </w:r>
    </w:p>
    <w:p>
      <w:r>
        <w:rPr>
          <w:b/>
        </w:rPr>
        <w:t>Safety:</w:t>
      </w:r>
      <w:r>
        <w:t xml:space="preserve"> Maximum RF reading (0.83 mW/m²) is </w:t>
      </w:r>
      <w:r>
        <w:rPr>
          <w:b/>
        </w:rPr>
        <w:t>~12 000× below</w:t>
      </w:r>
      <w:r>
        <w:t xml:space="preserve"> the ICNIRP public reference level of 10 W/m² at 2–3 GHz. No public-health concern at the measurement zone.</w:t>
      </w:r>
    </w:p>
    <w:p>
      <w:r>
        <w:t>---</w:t>
      </w:r>
    </w:p>
    <w:p>
      <w:pPr>
        <w:pStyle w:val="Heading2"/>
      </w:pPr>
      <w:r>
        <w:t>📁 Repository layout</w:t>
      </w:r>
    </w:p>
    <w:p>
      <w:r>
        <w:t>``</w:t>
      </w:r>
      <w:r>
        <w:rPr>
          <w:rFonts w:ascii="Consolas" w:hAnsi="Consolas"/>
          <w:color w:val="660099"/>
          <w:sz w:val="20"/>
        </w:rPr>
        <w:t xml:space="preserve"> mts-415/ ├── README.md                   ← this file (project overview, download guide) ├── METHODS.md                  ← Section II — Methodology (done) ├── analysis.py                 ← the Python pipeline (fits all distributions) ├── md_to_docx.py               ← converts .md → .docx for easy Word editing ├── field_measurements.csv      ← source of truth: 49 valid + 15 obstacle rows └── outputs/ ├── report.md               ← Results draft (all tables + verdicts) ├── fit_results.csv         ← master table: every (variable × distribution) × test stats ├── CPE415_Methods.docx     ← Methods in Word, ready to drop into the report ├── CPE415_Results.docx     ← Results in Word ├── CPE415_README.docx      ← this README in Word └── plots/ ├── rf_pdfs.png, rf_qq_Lognormal.png ├── rf_peak_pdfs.png, rf_peak_qq_Gamma.png ├── std_magnetic_*.png, wtd_magnetic_*.png, wtd_electric_peak_*.png └── (14 figures in total) </w:t>
      </w:r>
      <w:r>
        <w:t>``</w:t>
      </w:r>
    </w:p>
    <w:p>
      <w:r>
        <w:t>---</w:t>
      </w:r>
    </w:p>
    <w:p>
      <w:pPr>
        <w:pStyle w:val="Heading2"/>
      </w:pPr>
      <w:r>
        <w:t>The data (one-line summary)</w:t>
      </w:r>
    </w:p>
    <w:p>
      <w:pPr>
        <w:pStyle w:val="ListBullet"/>
      </w:pPr>
      <w:r>
        <w:rPr>
          <w:b/>
        </w:rPr>
        <w:t>Site:</w:t>
      </w:r>
      <w:r>
        <w:t xml:space="preserve"> Bisi Balogun Postgraduate Hostel, FUTA (7°17′52″N, 5°8′46″E), 23 Sept 2025, 12:10 PM</w:t>
      </w:r>
    </w:p>
    <w:p>
      <w:pPr>
        <w:pStyle w:val="ListBullet"/>
      </w:pPr>
      <w:r>
        <w:rPr>
          <w:b/>
        </w:rPr>
        <w:t>Mast:</w:t>
      </w:r>
      <w:r>
        <w:t xml:space="preserve"> Lattice tower, MTN Nigeria, LTE Band 7 (2600 MHz), FDD</w:t>
      </w:r>
    </w:p>
    <w:p>
      <w:pPr>
        <w:pStyle w:val="ListBullet"/>
      </w:pPr>
      <w:r>
        <w:rPr>
          <w:b/>
        </w:rPr>
        <w:t>Instrument:</w:t>
      </w:r>
      <w:r>
        <w:t xml:space="preserve"> Trifield TF2 (E-field V/m, B-field mG, RF mW/m²)</w:t>
      </w:r>
    </w:p>
    <w:p>
      <w:pPr>
        <w:pStyle w:val="ListBullet"/>
      </w:pPr>
      <w:r>
        <w:rPr>
          <w:b/>
        </w:rPr>
        <w:t>Grid:</w:t>
      </w:r>
      <w:r>
        <w:t xml:space="preserve"> 8 radial distances (0, 5, 10, 20, 30, 50, 75, 100 ft) × 8 directions (N, NE, E, SE, S, SW, W, NW)</w:t>
      </w:r>
    </w:p>
    <w:p>
      <w:pPr>
        <w:pStyle w:val="ListBullet"/>
      </w:pPr>
      <w:r>
        <w:rPr>
          <w:b/>
        </w:rPr>
        <w:t>Channels:</w:t>
      </w:r>
      <w:r>
        <w:t xml:space="preserve"> 5 quantities × 2 (instantaneous + peak) = 10 numbers per grid point</w:t>
      </w:r>
    </w:p>
    <w:p>
      <w:pPr>
        <w:pStyle w:val="ListBullet"/>
      </w:pPr>
      <w:r>
        <w:rPr>
          <w:b/>
        </w:rPr>
        <w:t>Valid readings:</w:t>
      </w:r>
      <w:r>
        <w:t xml:space="preserve"> 49 (15 obstacle points excluded — tank at 20 ft SE, buildings NE/NW/SE/SW beyond 30 ft)</w:t>
      </w:r>
    </w:p>
    <w:p>
      <w:r>
        <w:t>---</w:t>
      </w:r>
    </w:p>
    <w:p>
      <w:pPr>
        <w:pStyle w:val="Heading2"/>
      </w:pPr>
      <w:r>
        <w:t>👥 Who does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t>Data digitisation &amp; CSV</w:t>
            </w:r>
          </w:p>
        </w:tc>
        <w:tc>
          <w:tcPr>
            <w:tcW w:type="dxa" w:w="3120"/>
          </w:tcPr>
          <w:p>
            <w:r/>
            <w:r>
              <w:t>Lope</w:t>
            </w:r>
          </w:p>
        </w:tc>
        <w:tc>
          <w:tcPr>
            <w:tcW w:type="dxa" w:w="3120"/>
          </w:tcPr>
          <w:p>
            <w:r/>
            <w:r>
              <w:t>✅ done</w:t>
            </w:r>
          </w:p>
        </w:tc>
      </w:tr>
      <w:tr>
        <w:tc>
          <w:tcPr>
            <w:tcW w:type="dxa" w:w="3120"/>
          </w:tcPr>
          <w:p>
            <w:r/>
            <w:r>
              <w:t>Python analysis pipeline</w:t>
            </w:r>
          </w:p>
        </w:tc>
        <w:tc>
          <w:tcPr>
            <w:tcW w:type="dxa" w:w="3120"/>
          </w:tcPr>
          <w:p>
            <w:r/>
            <w:r>
              <w:t>Lope</w:t>
            </w:r>
          </w:p>
        </w:tc>
        <w:tc>
          <w:tcPr>
            <w:tcW w:type="dxa" w:w="3120"/>
          </w:tcPr>
          <w:p>
            <w:r/>
            <w:r>
              <w:t>✅ 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Methods (Section II)</w:t>
            </w:r>
          </w:p>
        </w:tc>
        <w:tc>
          <w:tcPr>
            <w:tcW w:type="dxa" w:w="3120"/>
          </w:tcPr>
          <w:p>
            <w:r/>
            <w:r>
              <w:t>Lope</w:t>
            </w:r>
          </w:p>
        </w:tc>
        <w:tc>
          <w:tcPr>
            <w:tcW w:type="dxa" w:w="3120"/>
          </w:tcPr>
          <w:p>
            <w:r/>
            <w:r>
              <w:t xml:space="preserve">✅ done — </w:t>
            </w:r>
            <w:r>
              <w:rPr>
                <w:rFonts w:ascii="Consolas" w:hAnsi="Consolas"/>
                <w:color w:val="660099"/>
                <w:sz w:val="20"/>
              </w:rPr>
              <w:t>METHODS.md</w:t>
            </w:r>
            <w:r>
              <w:t xml:space="preserve"> + </w:t>
            </w:r>
            <w:r>
              <w:rPr>
                <w:rFonts w:ascii="Consolas" w:hAnsi="Consolas"/>
                <w:color w:val="660099"/>
                <w:sz w:val="20"/>
              </w:rPr>
              <w:t>outputs/CPE415_Methods.docx</w:t>
            </w:r>
          </w:p>
        </w:tc>
      </w:tr>
      <w:tr>
        <w:tc>
          <w:tcPr>
            <w:tcW w:type="dxa" w:w="3120"/>
          </w:tcPr>
          <w:p>
            <w:r/>
            <w:r>
              <w:t>Results &amp; Discussion (Section V)</w:t>
            </w:r>
          </w:p>
        </w:tc>
        <w:tc>
          <w:tcPr>
            <w:tcW w:type="dxa" w:w="3120"/>
          </w:tcPr>
          <w:p>
            <w:r/>
            <w:r>
              <w:t>TBD</w:t>
            </w:r>
          </w:p>
        </w:tc>
        <w:tc>
          <w:tcPr>
            <w:tcW w:type="dxa" w:w="3120"/>
          </w:tcPr>
          <w:p>
            <w:r/>
            <w:r>
              <w:t xml:space="preserve">🟡 draft ready in </w:t>
            </w:r>
            <w:r>
              <w:rPr>
                <w:rFonts w:ascii="Consolas" w:hAnsi="Consolas"/>
                <w:color w:val="660099"/>
                <w:sz w:val="20"/>
              </w:rPr>
              <w:t>outputs/report.md</w:t>
            </w:r>
          </w:p>
        </w:tc>
      </w:tr>
      <w:tr>
        <w:tc>
          <w:tcPr>
            <w:tcW w:type="dxa" w:w="3120"/>
          </w:tcPr>
          <w:p>
            <w:r/>
            <w:r>
              <w:t>Introduction + Literature (Section I)</w:t>
            </w:r>
          </w:p>
        </w:tc>
        <w:tc>
          <w:tcPr>
            <w:tcW w:type="dxa" w:w="3120"/>
          </w:tcPr>
          <w:p>
            <w:r/>
            <w:r>
              <w:t>TBD</w:t>
            </w:r>
          </w:p>
        </w:tc>
        <w:tc>
          <w:tcPr>
            <w:tcW w:type="dxa" w:w="3120"/>
          </w:tcPr>
          <w:p>
            <w:r/>
            <w:r>
              <w:t>⬜</w:t>
            </w:r>
          </w:p>
        </w:tc>
      </w:tr>
      <w:tr>
        <w:tc>
          <w:tcPr>
            <w:tcW w:type="dxa" w:w="3120"/>
          </w:tcPr>
          <w:p>
            <w:r/>
            <w:r>
              <w:t>Regulatory Compliance (Section VI)</w:t>
            </w:r>
          </w:p>
        </w:tc>
        <w:tc>
          <w:tcPr>
            <w:tcW w:type="dxa" w:w="3120"/>
          </w:tcPr>
          <w:p>
            <w:r/>
            <w:r>
              <w:t>TBD</w:t>
            </w:r>
          </w:p>
        </w:tc>
        <w:tc>
          <w:tcPr>
            <w:tcW w:type="dxa" w:w="3120"/>
          </w:tcPr>
          <w:p>
            <w:r/>
            <w:r>
              <w:t>⬜</w:t>
            </w:r>
          </w:p>
        </w:tc>
      </w:tr>
      <w:tr>
        <w:tc>
          <w:tcPr>
            <w:tcW w:type="dxa" w:w="3120"/>
          </w:tcPr>
          <w:p>
            <w:r/>
            <w:r>
              <w:t>Conclusion (Section VII)</w:t>
            </w:r>
          </w:p>
        </w:tc>
        <w:tc>
          <w:tcPr>
            <w:tcW w:type="dxa" w:w="3120"/>
          </w:tcPr>
          <w:p>
            <w:r/>
            <w:r>
              <w:t>TBD</w:t>
            </w:r>
          </w:p>
        </w:tc>
        <w:tc>
          <w:tcPr>
            <w:tcW w:type="dxa" w:w="3120"/>
          </w:tcPr>
          <w:p>
            <w:r/>
            <w:r>
              <w:t>⬜</w:t>
            </w:r>
          </w:p>
        </w:tc>
      </w:tr>
      <w:tr>
        <w:tc>
          <w:tcPr>
            <w:tcW w:type="dxa" w:w="3120"/>
          </w:tcPr>
          <w:p>
            <w:r/>
            <w:r>
              <w:t>Formatting + references</w:t>
            </w:r>
          </w:p>
        </w:tc>
        <w:tc>
          <w:tcPr>
            <w:tcW w:type="dxa" w:w="3120"/>
          </w:tcPr>
          <w:p>
            <w:r/>
            <w:r>
              <w:t>TBD</w:t>
            </w:r>
          </w:p>
        </w:tc>
        <w:tc>
          <w:tcPr>
            <w:tcW w:type="dxa" w:w="3120"/>
          </w:tcPr>
          <w:p>
            <w:r/>
            <w:r>
              <w:t>⬜</w:t>
            </w:r>
          </w:p>
        </w:tc>
      </w:tr>
    </w:tbl>
    <w:p/>
    <w:p>
      <w:r>
        <w:rPr>
          <w:b/>
        </w:rPr>
        <w:t>Claim a section in the group chat and update this table when you start.</w:t>
      </w:r>
    </w:p>
    <w:p>
      <w:r>
        <w:t>---</w:t>
      </w:r>
    </w:p>
    <w:p>
      <w:pPr>
        <w:pStyle w:val="Heading2"/>
      </w:pPr>
      <w:r>
        <w:t>🔧 Reproducing the analysis locally (optional)</w:t>
      </w:r>
    </w:p>
    <w:p>
      <w:r>
        <w:t xml:space="preserve">Only needed if you want to re-run the pipeline, change the CSV, or regenerate plots. If you're just writing — you don't need to run anything; the outputs are already in </w:t>
      </w:r>
      <w:r>
        <w:rPr>
          <w:rFonts w:ascii="Consolas" w:hAnsi="Consolas"/>
          <w:color w:val="660099"/>
          <w:sz w:val="20"/>
        </w:rPr>
        <w:t>outputs/</w:t>
      </w:r>
      <w:r>
        <w:t>.</w:t>
      </w:r>
    </w:p>
    <w:p>
      <w:r>
        <w:t>``</w:t>
      </w:r>
      <w:r>
        <w:rPr>
          <w:rFonts w:ascii="Consolas" w:hAnsi="Consolas"/>
          <w:color w:val="660099"/>
          <w:sz w:val="20"/>
        </w:rPr>
        <w:t xml:space="preserve">bash pip install numpy scipy pandas matplotlib python-docx python3 analysis.py       # fits distributions, regenerates outputs/report.md + plots python3 md_to_docx.py     # converts .md → .docx </w:t>
      </w:r>
      <w:r>
        <w:t>``</w:t>
      </w:r>
    </w:p>
    <w:p>
      <w:r>
        <w:t xml:space="preserve">Everything regenerates from </w:t>
      </w:r>
      <w:r>
        <w:rPr>
          <w:rFonts w:ascii="Consolas" w:hAnsi="Consolas"/>
          <w:color w:val="660099"/>
          <w:sz w:val="20"/>
        </w:rPr>
        <w:t>field_measurements.csv</w:t>
      </w:r>
      <w:r>
        <w:t xml:space="preserve"> in ~2 seconds.</w:t>
      </w:r>
    </w:p>
    <w:p>
      <w:r>
        <w:t>---</w:t>
      </w:r>
    </w:p>
    <w:p>
      <w:pPr>
        <w:pStyle w:val="Heading2"/>
      </w:pPr>
      <w:r>
        <w:t>📮 Submission plan</w:t>
      </w:r>
    </w:p>
    <w:p>
      <w:pPr>
        <w:pStyle w:val="ListNumber"/>
      </w:pPr>
      <w:r>
        <w:rPr>
          <w:b/>
        </w:rPr>
        <w:t>Early submission (Methods + Results only):</w:t>
      </w:r>
      <w:r>
        <w:t xml:space="preserve"> email </w:t>
      </w:r>
      <w:r>
        <w:rPr>
          <w:rFonts w:ascii="Consolas" w:hAnsi="Consolas"/>
          <w:color w:val="660099"/>
          <w:sz w:val="20"/>
        </w:rPr>
        <w:t>softcopyfiles001@gmail.com</w:t>
      </w:r>
      <w:r>
        <w:t xml:space="preserve"> with </w:t>
      </w:r>
      <w:r>
        <w:rPr>
          <w:rFonts w:ascii="Consolas" w:hAnsi="Consolas"/>
          <w:color w:val="660099"/>
          <w:sz w:val="20"/>
        </w:rPr>
        <w:t>outputs/CPE415_Methods.docx</w:t>
      </w:r>
      <w:r>
        <w:t xml:space="preserve"> + </w:t>
      </w:r>
      <w:r>
        <w:rPr>
          <w:rFonts w:ascii="Consolas" w:hAnsi="Consolas"/>
          <w:color w:val="660099"/>
          <w:sz w:val="20"/>
        </w:rPr>
        <w:t>outputs/CPE415_Results.docx</w:t>
      </w:r>
      <w:r>
        <w:t xml:space="preserve"> for lecturer feedback.</w:t>
      </w:r>
    </w:p>
    <w:p>
      <w:pPr>
        <w:pStyle w:val="ListNumber"/>
      </w:pPr>
      <w:r>
        <w:rPr>
          <w:b/>
        </w:rPr>
        <w:t>Apply feedback</w:t>
      </w:r>
      <w:r>
        <w:t>, finish Introduction + Conclusion, merge into a single report.</w:t>
      </w:r>
    </w:p>
    <w:p>
      <w:pPr>
        <w:pStyle w:val="ListNumber"/>
      </w:pPr>
      <w:r>
        <w:rPr>
          <w:b/>
        </w:rPr>
        <w:t>Final submission</w:t>
      </w:r>
      <w:r>
        <w:t xml:space="preserve"> — hard copy via group rep, soft copy to the same email — </w:t>
      </w:r>
      <w:r>
        <w:rPr>
          <w:b/>
        </w:rPr>
        <w:t>before 24 April 2026</w:t>
      </w:r>
      <w:r>
        <w:t>.</w:t>
      </w:r>
    </w:p>
    <w:p>
      <w:r>
        <w:t>---</w:t>
      </w:r>
    </w:p>
    <w:p>
      <w:pPr>
        <w:pStyle w:val="Heading2"/>
      </w:pPr>
      <w:r>
        <w:t>🙌 Credits</w:t>
      </w:r>
    </w:p>
    <w:p>
      <w:r>
        <w:rPr>
          <w:b/>
        </w:rPr>
        <w:t>CPE Group 4 — FUTA Class of 2026</w:t>
      </w:r>
      <w:r>
        <w:t xml:space="preserve"> Andre Clement Olanrewaju · Bodunde Boluwatife Michael · Olamiye Oluwagbeminiyi Emmanuel · Omoloju Champion Temilorun · Idoko Owoicho Louis · Ajayi David Ebenezer · Muhammed Sheriff Otaru · Yusuf Mariam Kanyinsola</w:t>
      </w:r>
    </w:p>
    <w:p>
      <w:r>
        <w:t xml:space="preserve">Supervised by </w:t>
      </w:r>
      <w:r>
        <w:rPr>
          <w:b/>
        </w:rPr>
        <w:t>Engr. Charles Udekwe</w:t>
      </w:r>
      <w:r>
        <w:t>, Department of Electrical &amp; Electronics Engineering, FUTA.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