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CPE 415 — Project Overview</w:t>
      </w:r>
    </w:p>
    <w:p>
      <w:pPr>
        <w:pStyle w:val="Heading1"/>
      </w:pPr>
      <w:r>
        <w:t>CPE 415 — Statistical Distribution Modelling of EMF Exposure Around a Cellular Base Station</w:t>
      </w:r>
    </w:p>
    <w:p>
      <w:pPr>
        <w:ind w:left="432"/>
      </w:pPr>
      <w:r>
        <w:rPr>
          <w:i/>
        </w:rPr>
        <w:t>**Federal University of Technology Akure (FUTA) — Department of Electrical &amp; Electronics Engineering**</w:t>
      </w:r>
    </w:p>
    <w:p>
      <w:pPr>
        <w:ind w:left="432"/>
      </w:pPr>
      <w:r>
        <w:rPr>
          <w:i/>
        </w:rPr>
        <w:t>Mathematical Modelling Course Project, Session 2025/2026</w:t>
      </w:r>
    </w:p>
    <w:p>
      <w:pPr>
        <w:ind w:left="432"/>
      </w:pPr>
      <w:r>
        <w:rPr>
          <w:i/>
        </w:rPr>
        <w:t>Submission deadline: **24 April 2026**</w:t>
      </w:r>
    </w:p>
    <w:p>
      <w:pPr>
        <w:pStyle w:val="Heading2"/>
      </w:pPr>
      <w:r>
        <w:t>What this project is (plain English)</w:t>
      </w:r>
    </w:p>
    <w:p>
      <w:r>
        <w:t>We already recorded field measurements at the MTN LTE mast near Bisi Balogun Hostel last semester (EEE304): RF power density, standard &amp; weighted magnetic fields, and electric fields at 8 distances × 8 compass bearings around the tower.</w:t>
      </w:r>
    </w:p>
    <w:p>
      <w:r>
        <w:t xml:space="preserve">For CPE 415 we take those numbers and </w:t>
      </w:r>
      <w:r>
        <w:rPr>
          <w:b/>
        </w:rPr>
        <w:t>figure out which probability distribution describes them best</w:t>
      </w:r>
      <w:r>
        <w:t xml:space="preserve"> — Normal, Lognormal, Gamma, Weibull, Rayleigh, Exponential, Nakagami. We fit each candidate with Maximum Likelihood, run standard goodness-of-fit tests (Kolmogorov–Smirnov, Anderson–Darling, Shapiro–Wilk), rank them by AIC, and pick a winner per variable. That winning distribution — with our fitted parameters plugged in — </w:t>
      </w:r>
      <w:r>
        <w:rPr>
          <w:b/>
        </w:rPr>
        <w:t>is our mathematical model</w:t>
      </w:r>
      <w:r>
        <w:t>.</w:t>
      </w:r>
    </w:p>
    <w:p>
      <w:r>
        <w:t xml:space="preserve">In other words: </w:t>
      </w:r>
      <w:r>
        <w:rPr>
          <w:i/>
        </w:rPr>
        <w:t>"given a position around the mast, predict (or validate) what the meter would show, using a probability distribution calibrated to our own data."</w:t>
      </w:r>
    </w:p>
    <w:p>
      <w:pPr>
        <w:pStyle w:val="Heading2"/>
      </w:pPr>
      <w:r>
        <w:t>Repository layout</w:t>
      </w:r>
    </w:p>
    <w:p>
      <w:r>
        <w:t>``</w:t>
      </w:r>
      <w:r>
        <w:rPr>
          <w:rFonts w:ascii="Consolas" w:hAnsi="Consolas"/>
          <w:color w:val="660099"/>
          <w:sz w:val="20"/>
        </w:rPr>
        <w:t xml:space="preserve"> mts-415/ ├── field_measurements.csv       ← the single source of truth (49 valid + 15 obstacle rows) ├── analysis.py                  ← runs the full modelling pipeline ├── md_to_docx.py                ← converts the Markdown deliverables into .docx ├── METHODS.md                   ← Section II of the report (ready to paste) ├── README.md                    ← this file └── outputs/ ├── report.md                ← Results + distance regression + excluded variables ├── fit_results.csv          ← master table: every variable × every distribution × every test ├── CPE415_Methods.docx      ← generated Word file ├── CPE415_Results.docx      ← generated Word file └── plots/ ├── rf_pdfs.png, rf_qq_Lognormal.png   (and the rest per variable) └── ... </w:t>
      </w:r>
      <w:r>
        <w:t>``</w:t>
      </w:r>
    </w:p>
    <w:p>
      <w:pPr>
        <w:pStyle w:val="Heading2"/>
      </w:pPr>
      <w:r>
        <w:t>How to run it</w:t>
      </w:r>
    </w:p>
    <w:p>
      <w:r>
        <w:t>``</w:t>
      </w:r>
      <w:r>
        <w:rPr>
          <w:rFonts w:ascii="Consolas" w:hAnsi="Consolas"/>
          <w:color w:val="660099"/>
          <w:sz w:val="20"/>
        </w:rPr>
        <w:t xml:space="preserve">bash pip install numpy scipy pandas matplotlib python-docx python3 analysis.py          # re-fits distributions, regenerates tables + plots python3 md_to_docx.py         # converts METHODS.md, report.md, README.md → .docx </w:t>
      </w:r>
      <w:r>
        <w:t>``</w:t>
      </w:r>
    </w:p>
    <w:p>
      <w:r>
        <w:t xml:space="preserve">Everything regenerates from </w:t>
      </w:r>
      <w:r>
        <w:rPr>
          <w:rFonts w:ascii="Consolas" w:hAnsi="Consolas"/>
          <w:color w:val="660099"/>
          <w:sz w:val="20"/>
        </w:rPr>
        <w:t>field_measurements.csv</w:t>
      </w:r>
      <w:r>
        <w:t xml:space="preserve"> in ~2 seconds. If anyone spots a transcription error in the raw data, edit the CSV and re-run — no hand-editing of tables.</w:t>
      </w:r>
    </w:p>
    <w:p>
      <w:pPr>
        <w:pStyle w:val="Heading2"/>
      </w:pPr>
      <w:r>
        <w:t>The data (one-line summary)</w:t>
      </w:r>
    </w:p>
    <w:p>
      <w:pPr>
        <w:pStyle w:val="ListBullet"/>
      </w:pPr>
      <w:r>
        <w:rPr>
          <w:b/>
        </w:rPr>
        <w:t>Site:</w:t>
      </w:r>
      <w:r>
        <w:t xml:space="preserve"> Bisi Balogun Postgraduate Hostel, FUTA (7°17′52″N, 5°8′46″E), 23 Sept 2025, 12:10 PM</w:t>
      </w:r>
    </w:p>
    <w:p>
      <w:pPr>
        <w:pStyle w:val="ListBullet"/>
      </w:pPr>
      <w:r>
        <w:rPr>
          <w:b/>
        </w:rPr>
        <w:t>Mast:</w:t>
      </w:r>
      <w:r>
        <w:t xml:space="preserve"> Lattice tower, MTN Nigeria, LTE Band 7 (2600 MHz), FDD</w:t>
      </w:r>
    </w:p>
    <w:p>
      <w:pPr>
        <w:pStyle w:val="ListBullet"/>
      </w:pPr>
      <w:r>
        <w:rPr>
          <w:b/>
        </w:rPr>
        <w:t>Instrument:</w:t>
      </w:r>
      <w:r>
        <w:t xml:space="preserve"> Trifield TF2 (E-field V/m, B-field mG, RF mW/m²)</w:t>
      </w:r>
    </w:p>
    <w:p>
      <w:pPr>
        <w:pStyle w:val="ListBullet"/>
      </w:pPr>
      <w:r>
        <w:rPr>
          <w:b/>
        </w:rPr>
        <w:t>Grid:</w:t>
      </w:r>
      <w:r>
        <w:t xml:space="preserve"> 8 radial distances (0, 5, 10, 20, 30, 50, 75, 100 ft) × 8 directions (N, NE, E, SE, S, SW, W, NW)</w:t>
      </w:r>
    </w:p>
    <w:p>
      <w:pPr>
        <w:pStyle w:val="ListBullet"/>
      </w:pPr>
      <w:r>
        <w:rPr>
          <w:b/>
        </w:rPr>
        <w:t>Channels:</w:t>
      </w:r>
      <w:r>
        <w:t xml:space="preserve"> 5 quantities × 2 (instantaneous + peak) = 10 numbers per grid point</w:t>
      </w:r>
    </w:p>
    <w:p>
      <w:pPr>
        <w:pStyle w:val="ListBullet"/>
      </w:pPr>
      <w:r>
        <w:rPr>
          <w:b/>
        </w:rPr>
        <w:t>Valid readings:</w:t>
      </w:r>
      <w:r>
        <w:t xml:space="preserve"> 49 (15 obstacle points excluded — tank at 20 ft SE, buildings NE/NW/SE/SW beyond 30 ft)</w:t>
      </w:r>
    </w:p>
    <w:p>
      <w:pPr>
        <w:pStyle w:val="Heading2"/>
      </w:pPr>
      <w:r>
        <w:t>Headline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Variable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n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Best-fit distribution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KS p-value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RF Power Density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Lognormal</w:t>
            </w:r>
            <w:r>
              <w:t xml:space="preserve"> (s = 0.72, scale = 0.12)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0.977</w:t>
            </w:r>
          </w:p>
        </w:tc>
        <w:tc>
          <w:tcPr>
            <w:tcW w:type="dxa" w:w="1872"/>
          </w:tcPr>
          <w:p>
            <w:r/>
            <w:r>
              <w:t>Strong fit ✓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RF Power Density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Gamma</w:t>
            </w:r>
            <w:r>
              <w:t xml:space="preserve"> (a = 2.45, scale = 0.087)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0.783</w:t>
            </w:r>
          </w:p>
        </w:tc>
        <w:tc>
          <w:tcPr>
            <w:tcW w:type="dxa" w:w="1872"/>
          </w:tcPr>
          <w:p>
            <w:r/>
            <w:r>
              <w:t>Strong fit ✓</w:t>
            </w:r>
          </w:p>
        </w:tc>
      </w:tr>
      <w:tr>
        <w:tc>
          <w:tcPr>
            <w:tcW w:type="dxa" w:w="1872"/>
          </w:tcPr>
          <w:p>
            <w:r/>
            <w:r>
              <w:t>Standard Magnetic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Normal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Meter resolution (0.1 mG) limits fit</w:t>
            </w:r>
          </w:p>
        </w:tc>
      </w:tr>
      <w:tr>
        <w:tc>
          <w:tcPr>
            <w:tcW w:type="dxa" w:w="1872"/>
          </w:tcPr>
          <w:p>
            <w:r/>
            <w:r>
              <w:t>Standard Magnetic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Weibull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Same quantisation issue</w:t>
            </w:r>
          </w:p>
        </w:tc>
      </w:tr>
      <w:tr>
        <w:tc>
          <w:tcPr>
            <w:tcW w:type="dxa" w:w="1872"/>
          </w:tcPr>
          <w:p>
            <w:r/>
            <w:r>
              <w:t>Weighted Magnetic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Nakagami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Same</w:t>
            </w:r>
          </w:p>
        </w:tc>
      </w:tr>
      <w:tr>
        <w:tc>
          <w:tcPr>
            <w:tcW w:type="dxa" w:w="1872"/>
          </w:tcPr>
          <w:p>
            <w:r/>
            <w:r>
              <w:t>Weighted Magnetic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Rayleigh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Same</w:t>
            </w:r>
          </w:p>
        </w:tc>
      </w:tr>
      <w:tr>
        <w:tc>
          <w:tcPr>
            <w:tcW w:type="dxa" w:w="1872"/>
          </w:tcPr>
          <w:p>
            <w:r/>
            <w:r>
              <w:t>Weighted Electric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—</w:t>
            </w:r>
          </w:p>
        </w:tc>
        <w:tc>
          <w:tcPr>
            <w:tcW w:type="dxa" w:w="1872"/>
          </w:tcPr>
          <w:p>
            <w:r/>
            <w:r>
              <w:t>—</w:t>
            </w:r>
          </w:p>
        </w:tc>
        <w:tc>
          <w:tcPr>
            <w:tcW w:type="dxa" w:w="1872"/>
          </w:tcPr>
          <w:p>
            <w:r/>
            <w:r>
              <w:t>35/49 zeros; below meter detection floor</w:t>
            </w:r>
          </w:p>
        </w:tc>
      </w:tr>
    </w:tbl>
    <w:p/>
    <w:p>
      <w:r>
        <w:rPr>
          <w:b/>
        </w:rPr>
        <w:t>Headline finding:</w:t>
      </w:r>
      <w:r>
        <w:t xml:space="preserve"> RF power density follows a </w:t>
      </w:r>
      <w:r>
        <w:rPr>
          <w:b/>
        </w:rPr>
        <w:t>Lognormal distribution</w:t>
      </w:r>
      <w:r>
        <w:t xml:space="preserve"> — consistent with shadow-fading propagation theory and matching independent results from comparable Nigerian (Olatunde 2022) and Rwandan (Nshizirungu 2021) studies.</w:t>
      </w:r>
    </w:p>
    <w:p>
      <w:r>
        <w:rPr>
          <w:b/>
        </w:rPr>
        <w:t>Secondary finding:</w:t>
      </w:r>
      <w:r>
        <w:t xml:space="preserve"> Mean RF </w:t>
      </w:r>
      <w:r>
        <w:rPr>
          <w:i/>
        </w:rPr>
        <w:t>increases</w:t>
      </w:r>
      <w:r>
        <w:t xml:space="preserve"> with distance from the mast (empirical exponent ≈ −0.36, R² = 0.69). This is not an error — it reflects the radiation pattern of downtilted sector antennas, which project energy outward rather than straight down. The base of the mast sits in a partial "RF shadow" zone. Our own measurement report notes this: </w:t>
      </w:r>
      <w:r>
        <w:rPr>
          <w:i/>
        </w:rPr>
        <w:t>"Standing directly under or near the mast still remains within compliance zones due to directional antennas focusing energy outward, not downward."</w:t>
      </w:r>
    </w:p>
    <w:p>
      <w:r>
        <w:rPr>
          <w:b/>
        </w:rPr>
        <w:t>Safety:</w:t>
      </w:r>
      <w:r>
        <w:t xml:space="preserve"> Maximum RF reading (0.83 mW/m²) is </w:t>
      </w:r>
      <w:r>
        <w:rPr>
          <w:b/>
        </w:rPr>
        <w:t>~12,000× below</w:t>
      </w:r>
      <w:r>
        <w:t xml:space="preserve"> the ICNIRP public reference level of 10 W/m² at 2–3 GHz. No public-health concern at the measurement zone.</w:t>
      </w:r>
    </w:p>
    <w:p>
      <w:pPr>
        <w:pStyle w:val="Heading2"/>
      </w:pPr>
      <w:r>
        <w:t>Who does what (group workflow)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3120"/>
          </w:tcPr>
          <w:p>
            <w:r/>
            <w:r>
              <w:t>Data digitisation &amp; CSV</w:t>
            </w:r>
          </w:p>
        </w:tc>
        <w:tc>
          <w:tcPr>
            <w:tcW w:type="dxa" w:w="3120"/>
          </w:tcPr>
          <w:p>
            <w:r/>
            <w:r>
              <w:t>Lope</w:t>
            </w:r>
          </w:p>
        </w:tc>
        <w:tc>
          <w:tcPr>
            <w:tcW w:type="dxa" w:w="3120"/>
          </w:tcPr>
          <w:p>
            <w:r/>
            <w:r>
              <w:t>✅ done</w:t>
            </w:r>
          </w:p>
        </w:tc>
      </w:tr>
      <w:tr>
        <w:tc>
          <w:tcPr>
            <w:tcW w:type="dxa" w:w="3120"/>
          </w:tcPr>
          <w:p>
            <w:r/>
            <w:r>
              <w:t>Python analysis pipeline</w:t>
            </w:r>
          </w:p>
        </w:tc>
        <w:tc>
          <w:tcPr>
            <w:tcW w:type="dxa" w:w="3120"/>
          </w:tcPr>
          <w:p>
            <w:r/>
            <w:r>
              <w:t>Lope</w:t>
            </w:r>
          </w:p>
        </w:tc>
        <w:tc>
          <w:tcPr>
            <w:tcW w:type="dxa" w:w="3120"/>
          </w:tcPr>
          <w:p>
            <w:r/>
            <w:r>
              <w:t>✅ done</w:t>
            </w:r>
          </w:p>
        </w:tc>
      </w:tr>
      <w:tr>
        <w:tc>
          <w:tcPr>
            <w:tcW w:type="dxa" w:w="3120"/>
          </w:tcPr>
          <w:p>
            <w:r/>
            <w:r>
              <w:t>Methods (Section II)</w:t>
            </w:r>
          </w:p>
        </w:tc>
        <w:tc>
          <w:tcPr>
            <w:tcW w:type="dxa" w:w="3120"/>
          </w:tcPr>
          <w:p>
            <w:r/>
            <w:r>
              <w:t>Lope</w:t>
            </w:r>
          </w:p>
        </w:tc>
        <w:tc>
          <w:tcPr>
            <w:tcW w:type="dxa" w:w="3120"/>
          </w:tcPr>
          <w:p>
            <w:r/>
            <w:r>
              <w:t>✅ draft (</w:t>
            </w:r>
            <w:r>
              <w:rPr>
                <w:rFonts w:ascii="Consolas" w:hAnsi="Consolas"/>
                <w:color w:val="660099"/>
                <w:sz w:val="20"/>
              </w:rPr>
              <w:t>METHODS.md</w:t>
            </w:r>
            <w:r>
              <w:t>)</w:t>
            </w:r>
          </w:p>
        </w:tc>
      </w:tr>
      <w:tr>
        <w:tc>
          <w:tcPr>
            <w:tcW w:type="dxa" w:w="3120"/>
          </w:tcPr>
          <w:p>
            <w:r/>
            <w:r>
              <w:t>Results &amp; Discussion (Section V)</w:t>
            </w:r>
          </w:p>
        </w:tc>
        <w:tc>
          <w:tcPr>
            <w:tcW w:type="dxa" w:w="3120"/>
          </w:tcPr>
          <w:p>
            <w:r/>
            <w:r>
              <w:t>TBD</w:t>
            </w:r>
          </w:p>
        </w:tc>
        <w:tc>
          <w:tcPr>
            <w:tcW w:type="dxa" w:w="3120"/>
          </w:tcPr>
          <w:p>
            <w:r/>
            <w:r>
              <w:t xml:space="preserve">🟡 outline ready in </w:t>
            </w:r>
            <w:r>
              <w:rPr>
                <w:rFonts w:ascii="Consolas" w:hAnsi="Consolas"/>
                <w:color w:val="660099"/>
                <w:sz w:val="20"/>
              </w:rPr>
              <w:t>outputs/report.md</w:t>
            </w:r>
          </w:p>
        </w:tc>
      </w:tr>
      <w:tr>
        <w:tc>
          <w:tcPr>
            <w:tcW w:type="dxa" w:w="3120"/>
          </w:tcPr>
          <w:p>
            <w:r/>
            <w:r>
              <w:t>Introduction + Literature (Section I)</w:t>
            </w:r>
          </w:p>
        </w:tc>
        <w:tc>
          <w:tcPr>
            <w:tcW w:type="dxa" w:w="3120"/>
          </w:tcPr>
          <w:p>
            <w:r/>
            <w:r>
              <w:t>TBD</w:t>
            </w:r>
          </w:p>
        </w:tc>
        <w:tc>
          <w:tcPr>
            <w:tcW w:type="dxa" w:w="3120"/>
          </w:tcPr>
          <w:p>
            <w:r/>
            <w:r>
              <w:t>⬜</w:t>
            </w:r>
          </w:p>
        </w:tc>
      </w:tr>
      <w:tr>
        <w:tc>
          <w:tcPr>
            <w:tcW w:type="dxa" w:w="3120"/>
          </w:tcPr>
          <w:p>
            <w:r/>
            <w:r>
              <w:t>Regulatory Compliance (Section VI)</w:t>
            </w:r>
          </w:p>
        </w:tc>
        <w:tc>
          <w:tcPr>
            <w:tcW w:type="dxa" w:w="3120"/>
          </w:tcPr>
          <w:p>
            <w:r/>
            <w:r>
              <w:t>TBD</w:t>
            </w:r>
          </w:p>
        </w:tc>
        <w:tc>
          <w:tcPr>
            <w:tcW w:type="dxa" w:w="3120"/>
          </w:tcPr>
          <w:p>
            <w:r/>
            <w:r>
              <w:t>⬜</w:t>
            </w:r>
          </w:p>
        </w:tc>
      </w:tr>
      <w:tr>
        <w:tc>
          <w:tcPr>
            <w:tcW w:type="dxa" w:w="3120"/>
          </w:tcPr>
          <w:p>
            <w:r/>
            <w:r>
              <w:t>Conclusion (Section VII)</w:t>
            </w:r>
          </w:p>
        </w:tc>
        <w:tc>
          <w:tcPr>
            <w:tcW w:type="dxa" w:w="3120"/>
          </w:tcPr>
          <w:p>
            <w:r/>
            <w:r>
              <w:t>TBD</w:t>
            </w:r>
          </w:p>
        </w:tc>
        <w:tc>
          <w:tcPr>
            <w:tcW w:type="dxa" w:w="3120"/>
          </w:tcPr>
          <w:p>
            <w:r/>
            <w:r>
              <w:t>⬜</w:t>
            </w:r>
          </w:p>
        </w:tc>
      </w:tr>
      <w:tr>
        <w:tc>
          <w:tcPr>
            <w:tcW w:type="dxa" w:w="3120"/>
          </w:tcPr>
          <w:p>
            <w:r/>
            <w:r>
              <w:t>Formatting + references</w:t>
            </w:r>
          </w:p>
        </w:tc>
        <w:tc>
          <w:tcPr>
            <w:tcW w:type="dxa" w:w="3120"/>
          </w:tcPr>
          <w:p>
            <w:r/>
            <w:r>
              <w:t>TBD</w:t>
            </w:r>
          </w:p>
        </w:tc>
        <w:tc>
          <w:tcPr>
            <w:tcW w:type="dxa" w:w="3120"/>
          </w:tcPr>
          <w:p>
            <w:r/>
            <w:r>
              <w:t>⬜</w:t>
            </w:r>
          </w:p>
        </w:tc>
      </w:tr>
    </w:tbl>
    <w:p/>
    <w:p>
      <w:pPr>
        <w:pStyle w:val="Heading2"/>
      </w:pPr>
      <w:r>
        <w:t>Submission plan</w:t>
      </w:r>
    </w:p>
    <w:p>
      <w:pPr>
        <w:pStyle w:val="ListNumber"/>
      </w:pPr>
      <w:r>
        <w:rPr>
          <w:b/>
        </w:rPr>
        <w:t>Early submission (Methods + Results only):</w:t>
      </w:r>
      <w:r>
        <w:t xml:space="preserve"> email </w:t>
      </w:r>
      <w:r>
        <w:rPr>
          <w:rFonts w:ascii="Consolas" w:hAnsi="Consolas"/>
          <w:color w:val="660099"/>
          <w:sz w:val="20"/>
        </w:rPr>
        <w:t>softcopyfiles001@gmail.com</w:t>
      </w:r>
      <w:r>
        <w:t xml:space="preserve"> with </w:t>
      </w:r>
      <w:r>
        <w:rPr>
          <w:rFonts w:ascii="Consolas" w:hAnsi="Consolas"/>
          <w:color w:val="660099"/>
          <w:sz w:val="20"/>
        </w:rPr>
        <w:t>CPE415_Methods.docx</w:t>
      </w:r>
      <w:r>
        <w:t xml:space="preserve"> + </w:t>
      </w:r>
      <w:r>
        <w:rPr>
          <w:rFonts w:ascii="Consolas" w:hAnsi="Consolas"/>
          <w:color w:val="660099"/>
          <w:sz w:val="20"/>
        </w:rPr>
        <w:t>CPE415_Results.docx</w:t>
      </w:r>
      <w:r>
        <w:t xml:space="preserve"> for lecturer feedback.</w:t>
      </w:r>
    </w:p>
    <w:p>
      <w:pPr>
        <w:pStyle w:val="ListNumber"/>
      </w:pPr>
      <w:r>
        <w:rPr>
          <w:b/>
        </w:rPr>
        <w:t>Apply feedback</w:t>
      </w:r>
      <w:r>
        <w:t>, finish Introduction + Conclusion, merge into a single report.</w:t>
      </w:r>
    </w:p>
    <w:p>
      <w:pPr>
        <w:pStyle w:val="ListNumber"/>
      </w:pPr>
      <w:r>
        <w:rPr>
          <w:b/>
        </w:rPr>
        <w:t>Final submission</w:t>
      </w:r>
      <w:r>
        <w:t xml:space="preserve"> — hard copy via group rep, soft copy to the same email — </w:t>
      </w:r>
      <w:r>
        <w:rPr>
          <w:b/>
        </w:rPr>
        <w:t>before 24 April 2026</w:t>
      </w:r>
      <w:r>
        <w:t>.</w:t>
      </w:r>
    </w:p>
    <w:p>
      <w:pPr>
        <w:pStyle w:val="Heading2"/>
      </w:pPr>
      <w:r>
        <w:t>Credits</w:t>
      </w:r>
    </w:p>
    <w:p>
      <w:r>
        <w:t>CPE Group 4 — FUTA Class of 2026: Andre Clement Olanrewaju · Bodunde Boluwatife Michael · Olamiye Oluwagbeminiyi Emmanuel · Omoloju Champion Temilorun · Idoko Owoicho Louis · Ajayi David Ebenezer · Muhammed Sheriff Otaru · Yusuf Mariam Kanyinsola</w:t>
      </w:r>
    </w:p>
    <w:p>
      <w:r>
        <w:t>Supervised by Engr. Charles Udekwe, Department of Electrical &amp; Electronics Engineering, FUTA.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