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0f3d1f"/>
          <w:sz w:val="52"/>
          <w:szCs w:val="52"/>
        </w:rPr>
        <w:t xml:space="preserve">MAWAARITH ANALYTICS</w:t>
      </w:r>
    </w:p>
    <w:p>
      <w:pPr>
        <w:jc w:val="center"/>
      </w:pPr>
      <w:r>
        <w:rPr>
          <w:rFonts w:ascii="Arial" w:cs="Arial" w:eastAsia="Arial" w:hAnsi="Arial"/>
          <w:b/>
          <w:bCs/>
          <w:color w:val="1a6b2a"/>
          <w:sz w:val="34"/>
          <w:szCs w:val="34"/>
        </w:rPr>
        <w:t xml:space="preserve">Project 3: Fairness Metrics in Islamic Inheritance Distribution</w:t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Gini Coefficient · Theil T Index · Atkinson Index · Coefficient of Variation</w:t>
      </w:r>
    </w:p>
    <w:p>
      <w:pPr>
        <w:spacing w:before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PCIED Dataset | Alhikma University, Ilorin</w:t>
      </w:r>
    </w:p>
    <w:p>
      <w:pPr>
        <w:spacing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Elbaseety Institute® | Mawarith Analytics | 2025</w:t>
      </w:r>
    </w:p>
    <w:p>
      <w:pPr>
        <w:pStyle w:val="Heading1"/>
        <w:spacing w:before="600"/>
      </w:pPr>
      <w:r>
        <w:rPr>
          <w:rFonts w:ascii="Arial" w:cs="Arial" w:eastAsia="Arial" w:hAnsi="Arial"/>
          <w:b/>
          <w:bCs/>
          <w:color w:val="0f3d1f"/>
          <w:sz w:val="32"/>
          <w:szCs w:val="32"/>
        </w:rPr>
        <w:t xml:space="preserve">1. Introduction</w:t>
      </w:r>
    </w:p>
    <w:p>
      <w:pPr>
        <w:spacing w:after="160" w:before="1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report quantitatively assesses fairness and wealth concentration in Islamic inheritance distribution using four well-established inequality indices: the Gini coefficient, the Theil T entropy index, the Atkinson welfare-based index, and the Coefficient of Variation. Analysis covers all 20 PCIED estate cases from Alhikma University, Ilorin, and 5,000 simulation records from Project 2.</w:t>
      </w:r>
    </w:p>
    <w:p>
      <w:pPr>
        <w:spacing w:after="16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civil equal-share benchmark (where all heirs receive identical amounts) is computed for each case as a reference point. Islamic inheritance is not expected to equal zero on these indices, as its differentiated shares reflect varying heir obligations, relationships, and gender-role economic frameworks under classical Fiqh.</w:t>
      </w:r>
    </w:p>
    <w:p>
      <w:pPr>
        <w:pStyle w:val="Heading1"/>
        <w:spacing w:before="400"/>
      </w:pPr>
      <w:r>
        <w:rPr>
          <w:rFonts w:ascii="Arial" w:cs="Arial" w:eastAsia="Arial" w:hAnsi="Arial"/>
          <w:b/>
          <w:bCs/>
          <w:color w:val="0f3d1f"/>
          <w:sz w:val="32"/>
          <w:szCs w:val="32"/>
        </w:rPr>
        <w:t xml:space="preserve">2. Methodology</w:t>
      </w:r>
    </w:p>
    <w:p>
      <w:pPr>
        <w:pStyle w:val="Heading2"/>
        <w:spacing w:before="240"/>
      </w:pPr>
      <w:r>
        <w:rPr>
          <w:rFonts w:ascii="Arial" w:cs="Arial" w:eastAsia="Arial" w:hAnsi="Arial"/>
          <w:b/>
          <w:bCs/>
          <w:color w:val="1a6b2a"/>
          <w:sz w:val="26"/>
          <w:szCs w:val="26"/>
        </w:rPr>
        <w:t xml:space="preserve">2.1 Fairness Indices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760"/>
        <w:gridCol w:w="3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Gini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Area ratio between Lorenz curve and equality diagonal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(equal) to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Most widely used; 0 = perfect equality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Theil 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Entropy-weighted divergence from mean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to ln(n)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Sensitive to top-end concentration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Atkinson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1 - EDE/mean where epsilon=0.5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to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Welfare-based; normative inequality aversion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Deviation / Mean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to inf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Relative dispersion; scale-invariant</w:t>
            </w:r>
          </w:p>
        </w:tc>
      </w:tr>
    </w:tbl>
    <w:p>
      <w:pPr>
        <w:pStyle w:val="Heading1"/>
        <w:spacing w:before="500"/>
      </w:pPr>
      <w:r>
        <w:rPr>
          <w:rFonts w:ascii="Arial" w:cs="Arial" w:eastAsia="Arial" w:hAnsi="Arial"/>
          <w:b/>
          <w:bCs/>
          <w:color w:val="0f3d1f"/>
          <w:sz w:val="32"/>
          <w:szCs w:val="32"/>
        </w:rPr>
        <w:t xml:space="preserve">3. PCIED Case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200"/>
        <w:gridCol w:w="1360"/>
        <w:gridCol w:w="1000"/>
        <w:gridCol w:w="1000"/>
        <w:gridCol w:w="1000"/>
        <w:gridCol w:w="900"/>
        <w:gridCol w:w="9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Deceased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Estate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Gini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Theil 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Atkinson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Muhammad Salim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Ajah, Lagos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N105,000,000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0.2024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0.0738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0.4075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Fatimah Yusuf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Ilorin, Kwara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N193,000,000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0.3241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0.2757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0.1227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0.9299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Rasheed Ali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Maitama, Abuja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N140,800,000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0.4630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0.3947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0.2030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Safiyyah Muslim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Ibadan, Oyo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N193,000,000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0.5278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0.2542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Khadijat Saheed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Akure, Ondo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N230,000,000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0.0641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0.1884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Anas Luqman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Akure, Ondo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N34,500,000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0.2604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0.1288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0.0642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0.5319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Hadi Ridwan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Ibadan, Oyo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N50,900,000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0.0000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Muhammad Bala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Isolo, Lagos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N37,900,000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0.1703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Siddiq Adewole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Garki, Abuja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N270,750,000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0.1534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0.3149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Bello Ayola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Ilorin, Kwara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N393,000,000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0.2778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0.1390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0.0681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0.6614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Salawu Hashim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Ikeja, Lagos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N138,000,000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0.2222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0.0872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Haleemat Oyewole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Ilorin, Kwara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N96,500,000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0.3333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0.2318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0.8471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Maryam Garuba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Lekki, Lagos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N24,300,000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0.0000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Tanzeel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Yaqub Musa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Marina, Lagos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N704,450,000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0.2500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0.1438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0.0670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0.6667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Tanzeel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Kabeerat Ibrahim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Igando, Lagos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N613,000,000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0.1429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Zainab Bako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Benin, Edo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N7,850,000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0.3333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0.2426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0.1273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Laraba Shetima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Zaria, Kaduna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N10,050,000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0.2222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0.0872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Faadil Aina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Ajah, Lagos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N280,300,000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0.1500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0.3423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Ramat Yakubu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Otta, Ogun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N25,800,000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0.2500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0.1308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0.0670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0.7071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Adamu Adamu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Ilorin, Kwara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N11,900,000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0.2157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0.0902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0.4344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Awl</w:t>
            </w:r>
          </w:p>
        </w:tc>
      </w:tr>
    </w:tbl>
    <w:p>
      <w:pPr>
        <w:pStyle w:val="Heading1"/>
        <w:spacing w:before="500"/>
      </w:pPr>
      <w:r>
        <w:rPr>
          <w:rFonts w:ascii="Arial" w:cs="Arial" w:eastAsia="Arial" w:hAnsi="Arial"/>
          <w:b/>
          <w:bCs/>
          <w:color w:val="0f3d1f"/>
          <w:sz w:val="32"/>
          <w:szCs w:val="32"/>
        </w:rPr>
        <w:t xml:space="preserve">4. Simulation Results (N=5,000)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Islamic (Simulation)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Islamic (PCIED)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Civil Benchmark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Gini Coefficient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0.1949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0.2281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Gini (Median)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0.1905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Theil T Index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0.1191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Atkinson Index (eps=0.5)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0.0585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Coefficient of Variation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0.4478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0.0000</w:t>
            </w:r>
          </w:p>
        </w:tc>
      </w:tr>
    </w:tbl>
    <w:p>
      <w:pPr>
        <w:pStyle w:val="Heading1"/>
        <w:spacing w:before="500"/>
      </w:pPr>
      <w:r>
        <w:rPr>
          <w:rFonts w:ascii="Arial" w:cs="Arial" w:eastAsia="Arial" w:hAnsi="Arial"/>
          <w:b/>
          <w:bCs/>
          <w:color w:val="0f3d1f"/>
          <w:sz w:val="32"/>
          <w:szCs w:val="32"/>
        </w:rPr>
        <w:t xml:space="preserve">5. Key Findings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6b2a"/>
          <w:sz w:val="22"/>
          <w:szCs w:val="22"/>
        </w:rPr>
        <w:t xml:space="preserve">• Islamic inheritance is moderately unequal by design</w:t>
      </w:r>
    </w:p>
    <w:p>
      <w:pPr>
        <w:spacing w:after="100" w:before="4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The mean Gini of 0.195 (simulation) and 0.228 (PCIED) sits in the moderate inequality range. This reflects the structured differentiation in Fiqh: wives receive 1/4 or 1/8, daughters half of sons, mothers get 1/6 or 1/3. This is inequality with purpose.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6b2a"/>
          <w:sz w:val="22"/>
          <w:szCs w:val="22"/>
        </w:rPr>
        <w:t xml:space="preserve">• Civil equal-share achieves Gini = 0 by construction</w:t>
      </w:r>
    </w:p>
    <w:p>
      <w:pPr>
        <w:spacing w:after="100" w:before="4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The civil benchmark achieves perfect equality numerically, but ignores the differentiated obligations and relationships among heirs that justify differential shares in Islamic law.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6b2a"/>
          <w:sz w:val="22"/>
          <w:szCs w:val="22"/>
        </w:rPr>
        <w:t xml:space="preserve">• Complex family structures produce the highest inequality</w:t>
      </w:r>
    </w:p>
    <w:p>
      <w:pPr>
        <w:spacing w:after="100" w:before="4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Profiles combining spouses, parents, children, and siblings simultaneously show the widest share spread and highest Gini, reflecting the structural hierarchy of Islamic inheritance priority.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6b2a"/>
          <w:sz w:val="22"/>
          <w:szCs w:val="22"/>
        </w:rPr>
        <w:t xml:space="preserve">• Case 7 achieves perfect equality (Gini = 0.000)</w:t>
      </w:r>
    </w:p>
    <w:p>
      <w:pPr>
        <w:spacing w:after="100" w:before="4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Late Mr. Hadi Ridwan of Ibadan: three heirs (wife, mother, two maternal brothers) received equal per-person amounts after Radd was applied. A rare but mathematically valid outcome.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6b2a"/>
          <w:sz w:val="22"/>
          <w:szCs w:val="22"/>
        </w:rPr>
        <w:t xml:space="preserve">• Gini rises with number of heirs</w:t>
      </w:r>
    </w:p>
    <w:p>
      <w:pPr>
        <w:spacing w:after="100" w:before="4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As heirs increase, the spread between the largest share (Asaba residue) and smallest fixed share (e.g. 1/6 mother) widens, pushing up the Gini consistently across all profiles.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f3d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a6b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2026-06-29T05:07:54.736Z</dcterms:created>
  <dcterms:modified xsi:type="dcterms:W3CDTF">2026-06-29T05:07:54.736Z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