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0f3d1f"/>
          <w:sz w:val="52"/>
          <w:szCs w:val="52"/>
        </w:rPr>
        <w:t xml:space="preserve">MAWAARITH ANALYTICS</w:t>
      </w:r>
    </w:p>
    <w:p>
      <w:pPr>
        <w:jc w:val="center"/>
      </w:pPr>
      <w:r>
        <w:rPr>
          <w:rFonts w:ascii="Arial" w:cs="Arial" w:eastAsia="Arial" w:hAnsi="Arial"/>
          <w:b/>
          <w:bCs/>
          <w:color w:val="1a6b2a"/>
          <w:sz w:val="32"/>
          <w:szCs w:val="32"/>
        </w:rPr>
        <w:t xml:space="preserve">Project 4: Mathematical Validation of Quranic Inheritance Fractions</w:t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Number Theory &amp; Linear Algebra Verification</w:t>
      </w:r>
    </w:p>
    <w:p>
      <w:pPr>
        <w:spacing w:before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PCIED Dataset | Alhikma University, Ilorin</w:t>
      </w:r>
    </w:p>
    <w:p>
      <w:pPr>
        <w:spacing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Elbaseety Institute® | Mawarith Analytics | 2025</w:t>
      </w:r>
    </w:p>
    <w:p>
      <w:pPr>
        <w:pStyle w:val="Heading1"/>
        <w:spacing w:before="600"/>
      </w:pPr>
      <w:r>
        <w:rPr>
          <w:rFonts w:ascii="Arial" w:cs="Arial" w:eastAsia="Arial" w:hAnsi="Arial"/>
          <w:b/>
          <w:bCs/>
          <w:color w:val="0f3d1f"/>
          <w:sz w:val="32"/>
          <w:szCs w:val="32"/>
        </w:rPr>
        <w:t xml:space="preserve">1. Introduction</w:t>
      </w:r>
    </w:p>
    <w:p>
      <w:pPr>
        <w:spacing w:after="160" w:before="1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report presents a formal mathematical validation of the Fiqh al-Mawarith Engine using number theory and linear algebra. Five validation pillars were established to verify that every computed inheritance distribution satisfies the fundamental correctness requirements of Islamic inheritance law: shares sum to exactly 1, no heir receives a negative amount, the Asl al-Masala is the true minimal common denominator, the distribution forms a solvable exact linear system, and all base Furud fractions belong to the canonical Quranic set.</w:t>
      </w:r>
    </w:p>
    <w:p>
      <w:pPr>
        <w:spacing w:after="160" w:before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validation exercise was not merely confirmatory — it discovered two genuine defects in the engine that had silently produced incorrect distributions in earlier project work. Both bugs are documented and resolved in this report.</w:t>
      </w:r>
    </w:p>
    <w:p>
      <w:pPr>
        <w:pStyle w:val="Heading1"/>
        <w:spacing w:before="500"/>
      </w:pPr>
      <w:r>
        <w:rPr>
          <w:rFonts w:ascii="Arial" w:cs="Arial" w:eastAsia="Arial" w:hAnsi="Arial"/>
          <w:b/>
          <w:bCs/>
          <w:color w:val="0f3d1f"/>
          <w:sz w:val="32"/>
          <w:szCs w:val="32"/>
        </w:rPr>
        <w:t xml:space="preserve">2. The Five Validation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60"/>
        <w:gridCol w:w="3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 Sum Constraint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sum(shares) == 1 exactly (Fraction arithmetic)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Verifies no estate fraction is lost or invented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 Non-Negativity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share &gt;= 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heir can receive a negative inheritance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 Asl al-Masala Minimality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reported base == true LCM(denominators)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Confirms classical Fiqh convention of minimal common denominator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 Matrix System A.x=b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Identity matrix + sum-row, solved exactly in QQ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Demonstrates the distribution is an exact, solvable linear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 Quranic Fraction Membership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Furud fractions subset of {1/2,1/3,1/4,1/6,1/8,2/3}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Confirms no invented fractions outside Surah An-Nisa</w:t>
            </w:r>
          </w:p>
        </w:tc>
      </w:tr>
    </w:tbl>
    <w:p>
      <w:pPr>
        <w:pStyle w:val="Heading1"/>
        <w:spacing w:before="500"/>
      </w:pPr>
      <w:r>
        <w:rPr>
          <w:rFonts w:ascii="Arial" w:cs="Arial" w:eastAsia="Arial" w:hAnsi="Arial"/>
          <w:b/>
          <w:bCs/>
          <w:color w:val="0f3d1f"/>
          <w:sz w:val="32"/>
          <w:szCs w:val="32"/>
        </w:rPr>
        <w:t xml:space="preserve">3. Bugs Discovered and Fixed</w:t>
      </w:r>
    </w:p>
    <w:p>
      <w:pPr>
        <w:pStyle w:val="Heading2"/>
        <w:spacing w:before="24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3.1 Bug 1 — Son-only Asaba Branch Missing</w:t>
      </w:r>
    </w:p>
    <w:p>
      <w:pPr>
        <w:spacing w:after="120" w:before="160"/>
        <w:jc w:val="both"/>
      </w:pPr>
      <w:r>
        <w:rPr>
          <w:rFonts w:ascii="Arial" w:cs="Arial" w:eastAsia="Arial" w:hAnsi="Arial"/>
          <w:sz w:val="22"/>
          <w:szCs w:val="22"/>
        </w:rPr>
        <w:t xml:space="preserve">When a son was present without any daughter, the engines residuary (Asaba) assignment logic had no matching conditional branch. The son silently received a 0 share instead of the full residue after Furud heirs were served. This affected 363 of 5,000 simulated cases (7.3 percent).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1a6b2a"/>
          <w:sz w:val="20"/>
          <w:szCs w:val="20"/>
        </w:rPr>
        <w:t xml:space="preserve">FIX: Added an explicit elif has_son and not has_daughter branch, assigning the son the full residue: shares["son"] = max(1 - furud_others, 0).</w:t>
      </w:r>
    </w:p>
    <w:p>
      <w:pPr>
        <w:pStyle w:val="Heading2"/>
        <w:spacing w:before="24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3.2 Bug 2 — Spouse-only Radd Fallback Missing</w:t>
      </w:r>
    </w:p>
    <w:p>
      <w:pPr>
        <w:spacing w:after="120" w:before="160"/>
        <w:jc w:val="both"/>
      </w:pPr>
      <w:r>
        <w:rPr>
          <w:rFonts w:ascii="Arial" w:cs="Arial" w:eastAsia="Arial" w:hAnsi="Arial"/>
          <w:sz w:val="22"/>
          <w:szCs w:val="22"/>
        </w:rPr>
        <w:t xml:space="preserve">When a spouse was the sole surviving heir (no children, parents, or siblings present), the Radd logic correctly excludes spouses from sharing surplus with other Furud heirs per classical Fiqh — but had no fallback for the case where no other heir exists at all. The spouse remained capped at their fixed 1/4, 1/8, or 1/2 share, with the remainder unassigned. This affected 163 of 5,000 simulated cases (3.3 percent).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1a6b2a"/>
          <w:sz w:val="20"/>
          <w:szCs w:val="20"/>
        </w:rPr>
        <w:t xml:space="preserve">FIX: Added a fallback — when the spouse is the only heir present, the full residue reverts to the spouse via Radd, since no other claimant exists.</w:t>
      </w:r>
    </w:p>
    <w:p>
      <w:pPr>
        <w:pStyle w:val="Heading2"/>
        <w:spacing w:before="300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3.3 Combined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Failures (of 5,000)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Rate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Initial Engine v2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526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10.52%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After Fix 1 (Son Asaba)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163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3.26%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After Fix 2 (Spouse Radd)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0.00%</w:t>
            </w:r>
          </w:p>
        </w:tc>
      </w:tr>
    </w:tbl>
    <w:p>
      <w:pPr>
        <w:pStyle w:val="Heading1"/>
        <w:spacing w:before="500"/>
      </w:pPr>
      <w:r>
        <w:rPr>
          <w:rFonts w:ascii="Arial" w:cs="Arial" w:eastAsia="Arial" w:hAnsi="Arial"/>
          <w:b/>
          <w:bCs/>
          <w:color w:val="0f3d1f"/>
          <w:sz w:val="32"/>
          <w:szCs w:val="32"/>
        </w:rPr>
        <w:t xml:space="preserve">4. PCIED Validation Results — All 20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400"/>
        <w:gridCol w:w="22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 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Asl al-Masala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Quranic Set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base=12, True LCM=12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base=12, True LCM=12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base=27, True LCM=27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base=12, True LCM=12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base=13, True LCM=13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base=24, True LCM=24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base=4, True LCM=4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base=39, True LCM=39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base=88, True LCM=88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base=12, True LCM=12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base=6, True LCM=6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base=6, True LCM=6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base=2, True LCM=2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base=6, True LCM=6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base=12, True LCM=12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base=6, True LCM=6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base=6, True LCM=6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base=4, True LCM=4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base=12, True LCM=12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base=17, True LCM=17 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18"/>
                <w:szCs w:val="18"/>
              </w:rPr>
              <w:t xml:space="preserve">Valid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1"/>
        <w:spacing w:before="500"/>
      </w:pPr>
      <w:r>
        <w:rPr>
          <w:rFonts w:ascii="Arial" w:cs="Arial" w:eastAsia="Arial" w:hAnsi="Arial"/>
          <w:b/>
          <w:bCs/>
          <w:color w:val="0f3d1f"/>
          <w:sz w:val="32"/>
          <w:szCs w:val="32"/>
        </w:rPr>
        <w:t xml:space="preserve">5. Conclusion</w:t>
      </w:r>
    </w:p>
    <w:p>
      <w:pPr>
        <w:spacing w:after="160" w:before="180"/>
        <w:jc w:val="both"/>
      </w:pPr>
      <w:r>
        <w:rPr>
          <w:rFonts w:ascii="Arial" w:cs="Arial" w:eastAsia="Arial" w:hAnsi="Arial"/>
          <w:sz w:val="22"/>
          <w:szCs w:val="22"/>
        </w:rPr>
        <w:t xml:space="preserve">All 20 PCIED cases pass all 5 validation pillars with zero violations. The simulation dataset of 5,000 cases initially exposed two genuine engine defects invisible in the curated PCIED test set, both now fixed and re-verified at 0.00 percent failure rate. This demonstrates the practical value of formal mathematical validation combined with large-scale randomized testing: hand-picked test cases, however carefully chosen, cannot guarantee coverage of all edge cases the way exhaustive constraint checking across thousands of randomized scenarios can.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f3d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6b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2026-06-30T09:20:45.717Z</dcterms:created>
  <dcterms:modified xsi:type="dcterms:W3CDTF">2026-06-30T09:20:45.730Z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