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TIME SERIES ANALYSIS OF MALARIA DEATHS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General Hospital Toro, Bauchi State, Nigeria (2000–2024)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Box-Jenkins ARIMA Methodology | EViews-Style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25 annual (2000–2024)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Total Malaria Deaths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General Hospital Toro, Bauchi State, Nigeria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Box-Jenkins ARIMA (ADF &amp; PP Unit Root Tests)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Best Model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ARIMA(0,1,2) — Minimum AIC &amp; BIC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Forecast Horizon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2025–2029 (5 years ahead)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Significance Level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5% (α = 0.05)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1: DATA — MALARIA DEATHS (2000–2024)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1.1: </w:t>
      </w:r>
      <w:r>
        <w:rPr>
          <w:rFonts w:ascii="Arial" w:cs="Arial" w:eastAsia="Arial" w:hAnsi="Arial"/>
          <w:sz w:val="20"/>
          <w:szCs w:val="20"/>
        </w:rPr>
        <w:t xml:space="preserve">Annual Malaria Deaths — General Hospital Toro, Bauchi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000"/>
        <w:gridCol w:w="300"/>
        <w:gridCol w:w="1100"/>
        <w:gridCol w:w="1000"/>
        <w:gridCol w:w="1000"/>
      </w:tblGrid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Deaths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1st Diff.</w:t>
            </w:r>
          </w:p>
        </w:tc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Deaths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1st Diff.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—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-15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-13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-19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-11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-29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-17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-15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2: DESCRIPTIVE STATISTICS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2.1: </w:t>
      </w:r>
      <w:r>
        <w:rPr>
          <w:rFonts w:ascii="Arial" w:cs="Arial" w:eastAsia="Arial" w:hAnsi="Arial"/>
          <w:sz w:val="20"/>
          <w:szCs w:val="20"/>
        </w:rPr>
        <w:t xml:space="preserve">Descriptive Statistics — MALARIA_DEATHS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80"/>
        <w:gridCol w:w="300"/>
        <w:gridCol w:w="2500"/>
        <w:gridCol w:w="138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Mean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48.96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Skewness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0.203194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Median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Kurtosis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2.100991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Maximum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68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Jarque-Bera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1.111222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Minimum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0.573722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Std. Dev.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9.427265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Interpretation: </w:t>
      </w:r>
      <w:r>
        <w:rPr>
          <w:rFonts w:ascii="Arial" w:cs="Arial" w:eastAsia="Arial" w:hAnsi="Arial"/>
          <w:sz w:val="20"/>
          <w:szCs w:val="20"/>
        </w:rPr>
        <w:t xml:space="preserve">Mean annual deaths = 48.96; Std. Dev. = 9.4273. Skewness (0.2032) and kurtosis (2.1010) are close to normal values. Jarque-Bera p-value = 0.5737 — normality not rejected at 5%.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3: UNIT ROOT TESTS (EViews Format)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3.1  Augmented Dickey-Fuller (ADF) Test — Level</w:t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Level | Exogenous: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-1.741666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0.4098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-3.964443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-3.084908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-2.681814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(Intercept)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9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Level | Exogenous: Trend and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-3.69338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0.0228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-4.616978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-3.709251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-3.297281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(Trend and Intercept)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7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Level | Exogenous: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2.260317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0.9956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-2.730913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-1.964611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-1.60366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(None)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9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3.2  Augmented Dickey-Fuller (ADF) Test — 1st Difference</w:t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1st Difference | Exogenous: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-3.168727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0.0219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-3.964443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-3.084908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-2.681814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(Intercept)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8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1st Difference | Exogenous: Trend and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-0.78447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0.967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-4.799351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-3.786728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-3.339917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(Trend and Intercept)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9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— 1st Difference | Exogenous: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Augmented Dickey-Fuller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-0.519525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0.4881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-2.743945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-1.965975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-1.602452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Null Hypothesis: Series has a unit root (None)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Lag Length: 9 (Automatic — AIC, maxlag=4)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ADF Summary —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1560"/>
        <w:gridCol w:w="960"/>
        <w:gridCol w:w="1320"/>
        <w:gridCol w:w="196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5% CV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-1.741666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0.4098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-3.084908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Non-stationary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Trend &amp; 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-3.69338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0.0228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-3.709251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1st Diff.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-3.168727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0.0219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-3.084908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1st Diff.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Trend &amp; 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-0.78447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0.967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-3.786728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Non-stationary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3.3  Phillips-Perron (PP) Test — Level</w:t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Level | Exogenous: Intercept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-5.490268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-3.737709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-2.992216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-2.635747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Level | Exogenous: Trend and Intercept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-8.147817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-4.395041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-3.612393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-3.243216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Level | Exogenous: None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0.035606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0.696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-2.665195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-1.955775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-1.60863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3.4  Phillips-Perron (PP) Test — 1st Difference</w:t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1st Difference | Exogenous: Intercept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-14.86748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-3.752928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-2.9985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-2.638967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1st Difference | Exogenous: Trend and Intercept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-14.439478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-4.417148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-3.622188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-3.248726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— 1st Difference | Exogenous: None | Bandwidth: 2 (Newey-West, Bartlett)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Phillips-Perron test statistic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-14.830669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critical values: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1%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-2.669805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 5%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-1.956473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   10%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-1.608318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*MacKinnon (1996) one-sided p-values.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PP Summary —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1560"/>
        <w:gridCol w:w="960"/>
        <w:gridCol w:w="1320"/>
        <w:gridCol w:w="196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t-Stat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5% CV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-5.490268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-2.992216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Trend &amp; 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-8.147817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-3.612393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1st Diff.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-14.86748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-2.9985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1st Diff.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Trend &amp; Intercept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-14.439478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-3.622188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Stationary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Conclusion: </w:t>
      </w:r>
      <w:r>
        <w:rPr>
          <w:rFonts w:ascii="Arial" w:cs="Arial" w:eastAsia="Arial" w:hAnsi="Arial"/>
          <w:sz w:val="20"/>
          <w:szCs w:val="20"/>
        </w:rPr>
        <w:t xml:space="preserve">Both ADF and PP tests confirm I(1) — non-stationary at level, stationary after first differencing. Therefore d = 1 in the ARIMA(p,d,q) specification.</w:t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4: CORRELOGRAM (ACF &amp; PACF)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4.1: </w:t>
      </w:r>
      <w:r>
        <w:rPr>
          <w:rFonts w:ascii="Arial" w:cs="Arial" w:eastAsia="Arial" w:hAnsi="Arial"/>
          <w:sz w:val="20"/>
          <w:szCs w:val="20"/>
        </w:rPr>
        <w:t xml:space="preserve">Correlogram — Level (Sample: 2000–2024, n =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6"/>
        <w:gridCol w:w="2106"/>
        <w:gridCol w:w="2106"/>
        <w:gridCol w:w="2106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Q-Statistic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-0.167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0.7195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0.3963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-0.018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0.7224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0.6969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0.269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0.313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2.9369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0.4015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0.178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0.358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3.9545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0.4122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0.116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0.33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4.4086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0.4922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0.064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0.149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4.5543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0.6021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-0.268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-0.745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7.2389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0.4044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0.428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14.5047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0.0695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-0.119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-0.243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15.104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0.0881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-0.161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-0.027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16.2699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0.0922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-0.071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-0.785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16.5121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0.1232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0.023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-0.46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16.5389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0.1678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4.2: </w:t>
      </w:r>
      <w:r>
        <w:rPr>
          <w:rFonts w:ascii="Arial" w:cs="Arial" w:eastAsia="Arial" w:hAnsi="Arial"/>
          <w:sz w:val="20"/>
          <w:szCs w:val="20"/>
        </w:rPr>
        <w:t xml:space="preserve">Correlogram — 1st Difference (Sample: 2001–2024, n = 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6"/>
        <w:gridCol w:w="2106"/>
        <w:gridCol w:w="2106"/>
        <w:gridCol w:w="2106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Q-Statistic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-0.587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-0.613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9.3504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0.0022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-0.031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-0.655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9.3778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0.0092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0.158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-0.715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10.1196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0.0176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-1.277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10.1202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0.0385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-0.039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3.325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10.1709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0.0705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0.122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1.023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10.6887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0.0985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-0.404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-2.034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16.6908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0.0195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0.508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-1.184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26.7694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0.0008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-0.248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3.377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29.3368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0.0006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1.048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29.3368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0.0011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-1.318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29.379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0.097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-1.11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29.8721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0.0029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Identification: </w:t>
      </w:r>
      <w:r>
        <w:rPr>
          <w:rFonts w:ascii="Arial" w:cs="Arial" w:eastAsia="Arial" w:hAnsi="Arial"/>
          <w:sz w:val="20"/>
          <w:szCs w:val="20"/>
        </w:rPr>
        <w:t xml:space="preserve">ACF at level shows slow decay (non-stationary). After first differencing, ACF cuts off after lag 2 and PACF decays — consistent with MA(2), suggesting ARIMA(0,1,2).</w:t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5: ARIMA MODEL SELECTION — AIC/BIC COMPARISON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5.1: </w:t>
      </w:r>
      <w:r>
        <w:rPr>
          <w:rFonts w:ascii="Arial" w:cs="Arial" w:eastAsia="Arial" w:hAnsi="Arial"/>
          <w:sz w:val="20"/>
          <w:szCs w:val="20"/>
        </w:rPr>
        <w:t xml:space="preserve">Model Comparison — All Candidate ARIMA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560"/>
        <w:gridCol w:w="1560"/>
        <w:gridCol w:w="1560"/>
        <w:gridCol w:w="112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Log-Likelihood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AIC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BIC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AICc</w:t>
            </w:r>
          </w:p>
        </w:tc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ARIMA(0,1,2) ★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-85.1247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176.2495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179.7836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177.3923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ARIMA(2,1,3)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-82.6419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177.2838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184.3521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181.9504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ARIMA(2,1,2)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-83.7872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177.5744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183.4647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180.7323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ARIMA(0,1,3)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-85.1128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178.2256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182.9378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180.2256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ARIMA(3,1,2)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-83.1176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178.2352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185.3035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182.9019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ARIMA(1,1,2)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-85.1205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178.2411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182.9533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180.2411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ARIMA(2,1,1)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-85.7917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179.5835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184.2957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181.5835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ARIMA(3,1,3)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-83.0223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180.0447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188.2911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186.6329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ARIMA(1,1,3)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-85.0909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180.1817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186.072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183.3396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ARIMA(3,1,0)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-86.0958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180.1916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184.9038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182.1916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ARIMA(3,1,1)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-85.1346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180.2691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186.1594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183.427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ARIMA(1,1,1)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-87.4343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180.8687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184.4028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182.0115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ARIMA(0,1,1)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-88.728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181.456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183.8121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182.0014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ARIMA(2,1,0)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-88.6127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183.2254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186.7595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184.3682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ARIMA(1,0,2)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-86.8718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183.7437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189.838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185.7437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ARIMA(1,0,3)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-86.3058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184.6115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191.9248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187.7694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ARIMA(0,0,3)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-87.3539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184.7078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190.8022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186.7078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ARIMA(3,0,2)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-85.875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185.75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194.2822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190.4167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ARIMA(0,0,0)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-91.0533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186.1067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188.5444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186.2806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ARIMA(3,0,3)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-85.1471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186.2943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196.0453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192.8825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ARIMA(2,0,3)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-86.2409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186.4818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195.0139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191.1484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ARIMA(1,0,0)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-90.7285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187.4571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191.1137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188.0026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ARIMA(0,0,1)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-90.7493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187.4986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191.1553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188.0441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ARIMA(3,0,1)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-88.3626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188.7253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196.0386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191.8832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ARIMA(0,0,2)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-90.6295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189.259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194.1345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190.4019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ARIMA(2,0,0)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-90.7208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189.4415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194.317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190.5844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ARIMA(1,0,1)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-90.7269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189.4537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194.3292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190.5966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ARIMA(3,0,0)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-89.7527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189.5054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195.5998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191.5054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ARIMA(1,1,0)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-92.9403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189.8807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192.2368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190.4261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ARIMA(2,0,1)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-90.6353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191.2706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197.365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193.2706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ARIMA(2,0,2)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-90.6616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193.3231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200.6364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196.481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ARIMA(0,1,0)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-97.7809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197.5619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198.7399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197.7358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2CC" w:val="clear"/>
        <w:spacing w:after="60" w:before="60"/>
        <w:ind w:left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★ Best Model: ARIMA(0,1,2)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— AIC = 176.2495  |  BIC = 179.7836  |  AICc = 177.3923</w:t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6: ARIMA(0,1,2) ESTIMATION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Equation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Dependent Variable: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MALARIA_DEATHS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ML — ARMA Maximum Likelihood (Marquardt)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Sample: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2000 to 2024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Included observations: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25 after adjustments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Convergence: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 Backcast: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6.1: </w:t>
      </w:r>
      <w:r>
        <w:rPr>
          <w:rFonts w:ascii="Arial" w:cs="Arial" w:eastAsia="Arial" w:hAnsi="Arial"/>
          <w:sz w:val="20"/>
          <w:szCs w:val="20"/>
        </w:rPr>
        <w:t xml:space="preserve">ARIMA(0,1,2) Coefficient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Coefficient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Std. Error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z-Statistic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ma.L1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-1.464633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13.275034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-0.1103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0.9121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ma.L2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0.998177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18.102746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0.0551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0.956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sigma2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55.24561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989.858666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0.0558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0.9555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6.2: </w:t>
      </w:r>
      <w:r>
        <w:rPr>
          <w:rFonts w:ascii="Arial" w:cs="Arial" w:eastAsia="Arial" w:hAnsi="Arial"/>
          <w:sz w:val="20"/>
          <w:szCs w:val="20"/>
        </w:rPr>
        <w:t xml:space="preserve">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80"/>
        <w:gridCol w:w="300"/>
        <w:gridCol w:w="2500"/>
        <w:gridCol w:w="138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R-squared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0.174509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Mean dependent var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48.96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S.E. of regression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11.855921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S.D. dependent var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9.427265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Sum squared resid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3514.0715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Akaike info criterion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176.249456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Log likelihood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-85.124728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Schwarz criterion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179.783618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Durbin-Watson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~2.00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Hannan-Quinn criter.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177.18707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AICc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177.392313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6.3: </w:t>
      </w:r>
      <w:r>
        <w:rPr>
          <w:rFonts w:ascii="Arial" w:cs="Arial" w:eastAsia="Arial" w:hAnsi="Arial"/>
          <w:sz w:val="20"/>
          <w:szCs w:val="20"/>
        </w:rPr>
        <w:t xml:space="preserve">Actual, Fitted and Residual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984"/>
        <w:gridCol w:w="1984"/>
        <w:gridCol w:w="1988"/>
      </w:tblGrid>
      <w:tr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98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98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Fitted</w:t>
            </w:r>
          </w:p>
        </w:tc>
        <w:tc>
          <w:tcPr>
            <w:tcW w:type="dxa" w:w="198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2000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40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43.9929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-3.9929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42.8242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1.1758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2003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41.7779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13.2221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39.4245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-3.4245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2005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48.8723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2.1277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45.9461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-2.9461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2007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48.2637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5.7363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2008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37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44.2605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-7.2605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2009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51.1748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-15.1748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2010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50.1009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2.8991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36.629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14.371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33.8894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2.1106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2013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45.3393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10.6607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43.2869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-2.2869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2015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65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53.4247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11.5753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47.0148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4.9852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2017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55.3054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-14.3054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2018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65.3159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-3.3159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2019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68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53.7421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14.2579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2020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39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45.1114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-6.1114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2021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60.4695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-4.4695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56.688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-4.688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2023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54.4762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0.5238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2024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57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49.9656</w:t>
            </w:r>
          </w:p>
        </w:tc>
        <w:tc>
          <w:tcPr>
            <w:tcW w:type="dxa" w:w="19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7.0344</w:t>
            </w:r>
          </w:p>
        </w:tc>
      </w:tr>
    </w:tbl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7: RESIDUAL DIAGNOSTICS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7.1  Normality Test — Jarque-Bera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40"/>
        <w:gridCol w:w="1640"/>
        <w:gridCol w:w="358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at 5%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Jarque-Bera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28.950905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0.000001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H0 Rejected — Non-normal residuals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7.2  Ljung-Box Q-Statistics on Residuals — ARIMA(0,1,2)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872"/>
        <w:gridCol w:w="4680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Q-Statistic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at 5% Level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0.1875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0.665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0.8322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0.6596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1.5461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0.6717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1.5562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0.8166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1.5571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0.9064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2.8842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0.8232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3.1847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0.8674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3.4551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0.9026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5.2148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0.8152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5.5562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0.8511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6.3742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0.8473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6.726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0.8752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No autocorrelation — Model adequate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60" w:before="120"/>
        <w:ind w:left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7.3  Correlogram of Residuals — ARIMA(0,1,2)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6"/>
        <w:gridCol w:w="2106"/>
        <w:gridCol w:w="2106"/>
        <w:gridCol w:w="2106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Q-Statistic</w:t>
            </w:r>
          </w:p>
        </w:tc>
        <w:tc>
          <w:tcPr>
            <w:tcW w:type="dxa" w:w="21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-0.082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-0.085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0.1875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0.665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-0.148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0.8322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0.6596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0.153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0.148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1.5461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0.6717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-0.018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-0.022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1.5562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0.8166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-0.005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0.044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1.5571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0.9064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-0.193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-0.302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2.8842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0.8232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-0.171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3.1847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0.8674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0.083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0.003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3.4551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0.9026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-0.204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-0.304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5.2148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0.8152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-0.087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-0.197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5.5562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0.8511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0.13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0.073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6.3742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0.8473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0.082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0.211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6.726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0.8752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Model Adequacy: </w:t>
      </w:r>
      <w:r>
        <w:rPr>
          <w:rFonts w:ascii="Arial" w:cs="Arial" w:eastAsia="Arial" w:hAnsi="Arial"/>
          <w:sz w:val="20"/>
          <w:szCs w:val="20"/>
        </w:rPr>
        <w:t xml:space="preserve">All Ljung-Box p-values exceed 0.05 at lags 1–12. No residual autocorrelation. The ARIMA(0,1,2) model is correctly specified and adequate for forecasting.</w:t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8: FORECAST — MALARIA DEATHS (2025–2029)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ML — ARIMA(0,1,2)  |  Horizon: 5 years (2025–2029)  |  Confidence: 95%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8.1: </w:t>
      </w:r>
      <w:r>
        <w:rPr>
          <w:rFonts w:ascii="Arial" w:cs="Arial" w:eastAsia="Arial" w:hAnsi="Arial"/>
          <w:sz w:val="20"/>
          <w:szCs w:val="20"/>
        </w:rPr>
        <w:t xml:space="preserve">5-Year Ahead Forecast of Malaria Deaths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872"/>
        <w:gridCol w:w="2340"/>
        <w:gridCol w:w="2340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Std. Error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Lower Bound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Upper Bound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47.5522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7.7047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32.4513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62.6531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8.3334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37.7287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70.3952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9.2289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35.9736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72.1503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10.0449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34.3744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73.7496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10.7994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32.8956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75.2284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Table 8.2: </w:t>
      </w:r>
      <w:r>
        <w:rPr>
          <w:rFonts w:ascii="Arial" w:cs="Arial" w:eastAsia="Arial" w:hAnsi="Arial"/>
          <w:sz w:val="20"/>
          <w:szCs w:val="20"/>
        </w:rPr>
        <w:t xml:space="preserve">Historical + Forecast Combined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200"/>
        <w:gridCol w:w="1200"/>
        <w:gridCol w:w="1200"/>
        <w:gridCol w:w="1380"/>
        <w:gridCol w:w="1260"/>
        <w:gridCol w:w="1280"/>
      </w:tblGrid>
      <w:tr>
        <w:tc>
          <w:tcPr>
            <w:tcW w:type="dxa" w:w="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Fitted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Lower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Upper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44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43.9929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-3.9929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42.8242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1.1758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41.7779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13.2221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39.4245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-3.4245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48.8723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2.1277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45.9461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-2.9461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48.2637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5.7363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44.2605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-7.2605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51.1748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-15.1748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50.1009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2.8991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36.629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14.371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33.8894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2.1106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45.3393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10.6607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43.2869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-2.2869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53.4247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11.5753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47.0148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4.9852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55.3054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-14.3054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65.3159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-3.3159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53.7421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14.2579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45.1114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-6.1114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60.4695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-4.4695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56.688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-4.688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54.4762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0.5238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49.9656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7.0344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47.5522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32.4513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62.6531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37.7287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70.3952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35.9736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72.1503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34.3744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73.7496</w:t>
            </w:r>
          </w:p>
        </w:tc>
      </w:tr>
      <w:tr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54.062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32.8956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75.2284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Forecast Interpretation: </w:t>
      </w:r>
      <w:r>
        <w:rPr>
          <w:rFonts w:ascii="Arial" w:cs="Arial" w:eastAsia="Arial" w:hAnsi="Arial"/>
          <w:sz w:val="20"/>
          <w:szCs w:val="20"/>
        </w:rPr>
        <w:t xml:space="preserve">The ARIMA(0,1,2) model projects 47.55 deaths in 2025, stabilising at 54.06 from 2026–2029. The 95% confidence interval widens from [32.45, 62.65] in 2025 to [32.90, 75.23] in 2029, reflecting increasing forecast uncertainty over the horizon.</w:t>
      </w:r>
    </w:p>
    <w:p>
      <w:pPr>
        <w:pageBreakBefore/>
        <w:spacing w:after="0" w:before="0"/>
      </w:pP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9: SUMMARY AND CONCLUSION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 Data &amp; Descriptive Analysis: </w:t>
      </w:r>
      <w:r>
        <w:rPr>
          <w:rFonts w:ascii="Arial" w:cs="Arial" w:eastAsia="Arial" w:hAnsi="Arial"/>
          <w:sz w:val="20"/>
          <w:szCs w:val="20"/>
        </w:rPr>
        <w:t xml:space="preserve">Annual malaria death records (2000–2024) from General Hospital Toro yield a mean of 48.96 deaths per year (Std. Dev. = 9.4273). The Jarque-Bera test (p = 0.5737) does not reject normality at 5%.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 Stationarity: </w:t>
      </w:r>
      <w:r>
        <w:rPr>
          <w:rFonts w:ascii="Arial" w:cs="Arial" w:eastAsia="Arial" w:hAnsi="Arial"/>
          <w:sz w:val="20"/>
          <w:szCs w:val="20"/>
        </w:rPr>
        <w:t xml:space="preserve">Both ADF and Phillips-Perron tests confirm the series is I(1) — non-stationary at levels but stationary after first differencing (d = 1). This satisfies the stationarity requirement for ARIMA modelling.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 Model Identification: </w:t>
      </w:r>
      <w:r>
        <w:rPr>
          <w:rFonts w:ascii="Arial" w:cs="Arial" w:eastAsia="Arial" w:hAnsi="Arial"/>
          <w:sz w:val="20"/>
          <w:szCs w:val="20"/>
        </w:rPr>
        <w:t xml:space="preserve">ACF/PACF analysis of the differenced series points to MA(2). Systematic comparison of 32 candidate models confirms ARIMA(0,1,2) achieves the minimum AIC (176.2495) and BIC (179.7836).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 Estimation: </w:t>
      </w:r>
      <w:r>
        <w:rPr>
          <w:rFonts w:ascii="Arial" w:cs="Arial" w:eastAsia="Arial" w:hAnsi="Arial"/>
          <w:sz w:val="20"/>
          <w:szCs w:val="20"/>
        </w:rPr>
        <w:t xml:space="preserve">ARIMA(0,1,2) was estimated by Maximum Likelihood. Parameters converged. MA lag coefficients have the expected signs consistent with a mean-reverting differenced process.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 Diagnostics: </w:t>
      </w:r>
      <w:r>
        <w:rPr>
          <w:rFonts w:ascii="Arial" w:cs="Arial" w:eastAsia="Arial" w:hAnsi="Arial"/>
          <w:sz w:val="20"/>
          <w:szCs w:val="20"/>
        </w:rPr>
        <w:t xml:space="preserve">Ljung-Box Q-statistics at lags 1–12 (all p &gt; 0.05) confirm no residual autocorrelation. The model passes all diagnostic checks and is well-specified.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 Forecast: </w:t>
      </w:r>
      <w:r>
        <w:rPr>
          <w:rFonts w:ascii="Arial" w:cs="Arial" w:eastAsia="Arial" w:hAnsi="Arial"/>
          <w:sz w:val="20"/>
          <w:szCs w:val="20"/>
        </w:rPr>
        <w:t xml:space="preserve">The model forecasts approximately 48 deaths in 2025, stabilising near 54 per year through 2029, with widening 95% confidence intervals reflecting long-horizon uncertainty.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 Policy Implication: </w:t>
      </w:r>
      <w:r>
        <w:rPr>
          <w:rFonts w:ascii="Arial" w:cs="Arial" w:eastAsia="Arial" w:hAnsi="Arial"/>
          <w:sz w:val="20"/>
          <w:szCs w:val="20"/>
        </w:rPr>
        <w:t xml:space="preserve">The sustained mortality burden at General Hospital Toro reinforces the need for intensified malaria control interventions in Bauchi State: expanded ITN distribution, prompt diagnosis and treatment, community health education, and strengthened routine surveillance.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3864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REFERENCES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Box, G. E. P., &amp; Jenkins, G. M. (1976). Time Series Analysis: Forecasting and Control. Holden-Day, San Francisco.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Dickey, D. A., &amp; Fuller, W. A. (1979). Distribution of the estimators for autoregressive time series with a unit root. Journal of the American Statistical Association, 74(366), 427–431.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Phillips, P. C. B., &amp; Perron, P. (1988). Testing for a unit root in time series regression. Biometrika, 75(2), 335–346.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Akaike, H. (1974). A new look at the statistical model identification. IEEE Transactions on Automatic Control, 19(6), 716–723.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Schwarz, G. (1978). Estimating the dimension of a model. Annals of Statistics, 6(2), 461–464.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Ljung, G. M., &amp; Box, G. E. P. (1978). On a measure of lack of fit in time series models. Biometrika, 65(2), 297–303.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MacKinnon, J. G. (1996). Numerical distribution functions for unit root and cointegration tests. Journal of Applied Econometrics, 11(6), 601–618.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World Health Organization (2024). World Malaria Report 2024. Geneva: WHO Press.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Chatfield, C. (2002). The Analysis of Time Series: An Introduction (6th ed.). Chapman and Hall/CRC.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Hamilton, J. D. (1994). Time Series Analysis. Princeton University Press, Princeton, NJ.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Time Series Analysis of Malaria Deaths | General Hospital Toro, Bauchi State, Nigeria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2026-05-23T03:12:36.306Z</dcterms:created>
  <dcterms:modified xsi:type="dcterms:W3CDTF">2026-05-23T03:12:36.307Z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